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63124C3F"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864683">
        <w:rPr>
          <w:rFonts w:ascii="Arial" w:hAnsi="Arial" w:cs="Arial" w:hint="eastAsia"/>
          <w:b/>
          <w:bCs/>
          <w:kern w:val="0"/>
          <w:sz w:val="24"/>
        </w:rPr>
        <w:t>1</w:t>
      </w:r>
      <w:r w:rsidR="00864683">
        <w:rPr>
          <w:rFonts w:ascii="Arial" w:hAnsi="Arial" w:cs="Arial"/>
          <w:b/>
          <w:bCs/>
          <w:kern w:val="0"/>
          <w:sz w:val="24"/>
        </w:rPr>
        <w:t>1</w:t>
      </w:r>
      <w:r w:rsidR="008C7335">
        <w:rPr>
          <w:rFonts w:ascii="Arial" w:hAnsi="Arial" w:cs="Arial"/>
          <w:b/>
          <w:bCs/>
          <w:kern w:val="0"/>
          <w:sz w:val="24"/>
        </w:rPr>
        <w:t>2</w:t>
      </w:r>
      <w:r>
        <w:rPr>
          <w:rFonts w:ascii="Arial" w:hAnsi="Arial" w:cs="Arial"/>
          <w:b/>
          <w:bCs/>
          <w:kern w:val="0"/>
          <w:sz w:val="24"/>
        </w:rPr>
        <w:t xml:space="preserve"> electronic</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20</w:t>
      </w:r>
      <w:r w:rsidR="00F54ED3">
        <w:rPr>
          <w:rFonts w:ascii="Arial" w:hAnsi="Arial" w:cs="Arial"/>
          <w:b/>
          <w:bCs/>
          <w:kern w:val="0"/>
          <w:sz w:val="24"/>
          <w:lang w:val="en-GB"/>
        </w:rPr>
        <w:t>0</w:t>
      </w:r>
      <w:r w:rsidR="008C7335">
        <w:rPr>
          <w:rFonts w:ascii="Arial" w:hAnsi="Arial" w:cs="Arial"/>
          <w:b/>
          <w:bCs/>
          <w:kern w:val="0"/>
          <w:sz w:val="24"/>
          <w:lang w:val="en-GB"/>
        </w:rPr>
        <w:t>9242</w:t>
      </w:r>
    </w:p>
    <w:p w14:paraId="13013E51" w14:textId="64BEB82E"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e-meeting</w:t>
      </w:r>
      <w:r>
        <w:rPr>
          <w:rFonts w:ascii="Arial" w:hAnsi="Arial" w:cs="Arial"/>
          <w:b/>
          <w:bCs/>
          <w:kern w:val="0"/>
          <w:sz w:val="24"/>
          <w:lang w:val="en-GB"/>
        </w:rPr>
        <w:t xml:space="preserve">, </w:t>
      </w:r>
      <w:r w:rsidR="008C7335">
        <w:rPr>
          <w:rFonts w:ascii="Arial" w:hAnsi="Arial" w:cs="Arial"/>
          <w:b/>
          <w:bCs/>
          <w:kern w:val="0"/>
          <w:sz w:val="24"/>
          <w:lang w:val="en-GB"/>
        </w:rPr>
        <w:t>2</w:t>
      </w:r>
      <w:r w:rsidR="008C7335">
        <w:rPr>
          <w:rFonts w:ascii="Arial" w:hAnsi="Arial" w:cs="Arial"/>
          <w:b/>
          <w:bCs/>
          <w:kern w:val="0"/>
          <w:sz w:val="24"/>
          <w:vertAlign w:val="superscript"/>
        </w:rPr>
        <w:t>nd</w:t>
      </w:r>
      <w:r>
        <w:rPr>
          <w:rFonts w:ascii="Arial" w:hAnsi="Arial" w:cs="Arial"/>
          <w:b/>
          <w:bCs/>
          <w:kern w:val="0"/>
          <w:sz w:val="24"/>
          <w:lang w:val="en-GB"/>
        </w:rPr>
        <w:t xml:space="preserve"> – </w:t>
      </w:r>
      <w:r w:rsidR="008C7335">
        <w:rPr>
          <w:rFonts w:ascii="Arial" w:hAnsi="Arial" w:cs="Arial"/>
          <w:b/>
          <w:bCs/>
          <w:kern w:val="0"/>
          <w:sz w:val="24"/>
        </w:rPr>
        <w:t>13</w:t>
      </w:r>
      <w:r>
        <w:rPr>
          <w:rFonts w:ascii="Arial" w:hAnsi="Arial" w:cs="Arial"/>
          <w:b/>
          <w:bCs/>
          <w:kern w:val="0"/>
          <w:sz w:val="24"/>
          <w:vertAlign w:val="superscript"/>
        </w:rPr>
        <w:t>th</w:t>
      </w:r>
      <w:r>
        <w:rPr>
          <w:rFonts w:ascii="Arial" w:hAnsi="Arial" w:cs="Arial"/>
          <w:b/>
          <w:bCs/>
          <w:kern w:val="0"/>
          <w:sz w:val="24"/>
          <w:lang w:val="en-GB"/>
        </w:rPr>
        <w:t xml:space="preserve"> </w:t>
      </w:r>
      <w:r w:rsidR="008C7335">
        <w:rPr>
          <w:rFonts w:ascii="Arial" w:hAnsi="Arial" w:cs="Arial"/>
          <w:b/>
          <w:bCs/>
          <w:kern w:val="0"/>
          <w:sz w:val="24"/>
        </w:rPr>
        <w:t>November</w:t>
      </w:r>
      <w:r>
        <w:rPr>
          <w:rFonts w:ascii="Arial" w:hAnsi="Arial" w:cs="Arial" w:hint="eastAsia"/>
          <w:b/>
          <w:bCs/>
          <w:kern w:val="0"/>
          <w:sz w:val="24"/>
          <w:lang w:val="en-GB"/>
        </w:rPr>
        <w:t xml:space="preserve"> 20</w:t>
      </w:r>
      <w:r>
        <w:rPr>
          <w:rFonts w:ascii="Arial" w:hAnsi="Arial" w:cs="Arial"/>
          <w:b/>
          <w:bCs/>
          <w:kern w:val="0"/>
          <w:sz w:val="24"/>
          <w:lang w:val="en-GB"/>
        </w:rPr>
        <w:t xml:space="preserve">20 </w:t>
      </w:r>
    </w:p>
    <w:p w14:paraId="31C05CC1" w14:textId="77777777" w:rsidR="00E84692" w:rsidRDefault="00E84692">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BB31BD9" w14:textId="4BE2A25C"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r w:rsidR="008943A1">
        <w:rPr>
          <w:rFonts w:ascii="Arial" w:hAnsi="Arial" w:cs="Arial"/>
          <w:b/>
          <w:bCs/>
          <w:snapToGrid w:val="0"/>
          <w:kern w:val="0"/>
          <w:sz w:val="24"/>
        </w:rPr>
        <w:t xml:space="preserve"> </w:t>
      </w:r>
      <w:r w:rsidR="003B676B">
        <w:rPr>
          <w:rFonts w:ascii="Arial" w:hAnsi="Arial" w:cs="Arial"/>
          <w:b/>
          <w:bCs/>
          <w:snapToGrid w:val="0"/>
          <w:kern w:val="0"/>
          <w:sz w:val="24"/>
        </w:rPr>
        <w:t>Nokia, Nokia Shanghai Bell</w:t>
      </w:r>
      <w:bookmarkStart w:id="0" w:name="_GoBack"/>
      <w:bookmarkEnd w:id="0"/>
    </w:p>
    <w:p w14:paraId="61403576" w14:textId="10548573" w:rsidR="00E84692" w:rsidRDefault="0043216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2D583E">
        <w:rPr>
          <w:rFonts w:ascii="Arial" w:hAnsi="Arial" w:cs="Arial"/>
          <w:b/>
          <w:bCs/>
          <w:snapToGrid w:val="0"/>
          <w:kern w:val="0"/>
          <w:sz w:val="24"/>
        </w:rPr>
        <w:t>Discuss RAN3 LS on band selection and indication</w:t>
      </w:r>
    </w:p>
    <w:p w14:paraId="774FE3B4" w14:textId="781EDA3E"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sidR="008C7335">
        <w:rPr>
          <w:rFonts w:ascii="Arial" w:hAnsi="Arial" w:cs="Arial"/>
          <w:b/>
          <w:bCs/>
          <w:snapToGrid w:val="0"/>
          <w:kern w:val="0"/>
          <w:sz w:val="24"/>
        </w:rPr>
        <w:t>6.12</w:t>
      </w:r>
    </w:p>
    <w:p w14:paraId="4EDF698D" w14:textId="77777777"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565D0AE" w14:textId="116229A0" w:rsidR="000432B6" w:rsidRDefault="000432B6" w:rsidP="00AB7A48">
      <w:pPr>
        <w:spacing w:before="120" w:after="0"/>
      </w:pPr>
      <w:r>
        <w:t xml:space="preserve">After RAN3’s last meeting, an LS[1] </w:t>
      </w:r>
      <w:r w:rsidR="00F05D91">
        <w:t xml:space="preserve">was sent to RAN2, meant to ask RAN2 whether bandCombinationIndex IE can be reused to indicate the selected band in “multiple overlapping bands” scenario.   </w:t>
      </w:r>
      <w:r>
        <w:t xml:space="preserve"> </w:t>
      </w:r>
    </w:p>
    <w:tbl>
      <w:tblPr>
        <w:tblStyle w:val="af5"/>
        <w:tblW w:w="0" w:type="auto"/>
        <w:tblLook w:val="04A0" w:firstRow="1" w:lastRow="0" w:firstColumn="1" w:lastColumn="0" w:noHBand="0" w:noVBand="1"/>
      </w:tblPr>
      <w:tblGrid>
        <w:gridCol w:w="9995"/>
      </w:tblGrid>
      <w:tr w:rsidR="00F05D91" w14:paraId="75D853A2" w14:textId="77777777" w:rsidTr="00F05D91">
        <w:tc>
          <w:tcPr>
            <w:tcW w:w="9995" w:type="dxa"/>
          </w:tcPr>
          <w:p w14:paraId="29CA99A8" w14:textId="77777777" w:rsidR="00F05D91" w:rsidRPr="00F05D91" w:rsidRDefault="00F05D91" w:rsidP="00F05D91">
            <w:pPr>
              <w:widowControl/>
              <w:overflowPunct w:val="0"/>
              <w:autoSpaceDE w:val="0"/>
              <w:autoSpaceDN w:val="0"/>
              <w:adjustRightInd w:val="0"/>
              <w:snapToGrid w:val="0"/>
              <w:spacing w:after="60"/>
              <w:textAlignment w:val="baseline"/>
              <w:rPr>
                <w:rFonts w:ascii="Arial" w:eastAsia="宋体" w:hAnsi="Arial" w:cs="Arial"/>
                <w:kern w:val="0"/>
                <w:sz w:val="18"/>
                <w:szCs w:val="20"/>
              </w:rPr>
            </w:pPr>
            <w:r w:rsidRPr="00F05D91">
              <w:rPr>
                <w:rFonts w:ascii="Arial" w:eastAsia="Times New Roman" w:hAnsi="Arial" w:cs="Arial"/>
                <w:kern w:val="0"/>
                <w:sz w:val="18"/>
                <w:szCs w:val="20"/>
                <w:lang w:val="en-GB"/>
              </w:rPr>
              <w:t xml:space="preserve">RAN3 has discussed the </w:t>
            </w:r>
            <w:r w:rsidRPr="00F05D91">
              <w:rPr>
                <w:rFonts w:ascii="Arial" w:eastAsia="宋体" w:hAnsi="Arial" w:cs="Arial"/>
                <w:kern w:val="0"/>
                <w:sz w:val="18"/>
                <w:szCs w:val="20"/>
              </w:rPr>
              <w:t>band selection scenario as described below:</w:t>
            </w:r>
          </w:p>
          <w:p w14:paraId="5C75955A" w14:textId="77777777" w:rsidR="00F05D91" w:rsidRPr="00F05D91" w:rsidRDefault="00F05D91" w:rsidP="00F05D91">
            <w:pPr>
              <w:widowControl/>
              <w:overflowPunct w:val="0"/>
              <w:autoSpaceDE w:val="0"/>
              <w:autoSpaceDN w:val="0"/>
              <w:adjustRightInd w:val="0"/>
              <w:snapToGrid w:val="0"/>
              <w:spacing w:after="60"/>
              <w:textAlignment w:val="baseline"/>
              <w:rPr>
                <w:rFonts w:ascii="Arial" w:eastAsia="宋体" w:hAnsi="Arial" w:cs="Arial"/>
                <w:kern w:val="0"/>
                <w:sz w:val="18"/>
                <w:szCs w:val="20"/>
              </w:rPr>
            </w:pPr>
            <w:r w:rsidRPr="00F05D91">
              <w:rPr>
                <w:rFonts w:ascii="Arial" w:eastAsia="宋体" w:hAnsi="Arial" w:cs="Arial"/>
                <w:kern w:val="0"/>
                <w:sz w:val="18"/>
                <w:szCs w:val="20"/>
              </w:rPr>
              <w:t>There is a cell with multiple overlapping bands, e.g.,</w:t>
            </w:r>
            <w:r w:rsidRPr="00F05D91">
              <w:rPr>
                <w:rFonts w:ascii="Arial" w:eastAsia="宋体" w:hAnsi="Arial" w:cs="Arial"/>
                <w:kern w:val="0"/>
                <w:sz w:val="18"/>
                <w:szCs w:val="20"/>
                <w:lang w:val="en-GB"/>
              </w:rPr>
              <w:t xml:space="preserve"> </w:t>
            </w:r>
            <w:r w:rsidRPr="00F05D91">
              <w:rPr>
                <w:rFonts w:ascii="Arial" w:eastAsia="宋体" w:hAnsi="Arial" w:cs="Arial"/>
                <w:kern w:val="0"/>
                <w:sz w:val="18"/>
                <w:szCs w:val="20"/>
              </w:rPr>
              <w:t>two</w:t>
            </w:r>
            <w:r w:rsidRPr="00F05D91">
              <w:rPr>
                <w:rFonts w:ascii="Arial" w:eastAsia="宋体" w:hAnsi="Arial" w:cs="Arial"/>
                <w:kern w:val="0"/>
                <w:sz w:val="18"/>
                <w:szCs w:val="20"/>
                <w:lang w:val="en-GB"/>
              </w:rPr>
              <w:t>, n2 and n25. Also, let</w:t>
            </w:r>
            <w:r w:rsidRPr="00F05D91">
              <w:rPr>
                <w:rFonts w:ascii="Arial" w:eastAsia="宋体" w:hAnsi="Arial" w:cs="Arial"/>
                <w:kern w:val="0"/>
                <w:sz w:val="18"/>
                <w:szCs w:val="20"/>
              </w:rPr>
              <w:t>’</w:t>
            </w:r>
            <w:r w:rsidRPr="00F05D91">
              <w:rPr>
                <w:rFonts w:ascii="Arial" w:eastAsia="宋体" w:hAnsi="Arial" w:cs="Arial"/>
                <w:kern w:val="0"/>
                <w:sz w:val="18"/>
                <w:szCs w:val="20"/>
                <w:lang w:val="en-GB"/>
              </w:rPr>
              <w:t>s assume there are UEs that can access both bands.</w:t>
            </w:r>
            <w:r w:rsidRPr="00F05D91">
              <w:rPr>
                <w:rFonts w:ascii="Arial" w:eastAsia="宋体" w:hAnsi="Arial" w:cs="Arial"/>
                <w:kern w:val="0"/>
                <w:sz w:val="18"/>
                <w:szCs w:val="20"/>
              </w:rPr>
              <w:t xml:space="preserve"> A</w:t>
            </w:r>
            <w:r w:rsidRPr="00F05D91">
              <w:rPr>
                <w:rFonts w:ascii="Arial" w:eastAsia="宋体" w:hAnsi="Arial" w:cs="Arial"/>
                <w:kern w:val="0"/>
                <w:sz w:val="18"/>
                <w:szCs w:val="20"/>
                <w:lang w:val="en-GB"/>
              </w:rPr>
              <w:t xml:space="preserve"> UE selects the first band in the frequencyBandList (broadcast in SIB1) that it supports, according to supportedBandListNR reported in UE-NR-Capability.</w:t>
            </w:r>
            <w:r w:rsidRPr="00F05D91">
              <w:rPr>
                <w:rFonts w:ascii="Arial" w:eastAsia="宋体" w:hAnsi="Arial" w:cs="Arial"/>
                <w:kern w:val="0"/>
                <w:sz w:val="18"/>
                <w:szCs w:val="20"/>
              </w:rPr>
              <w:t xml:space="preserve"> It may be needed to select for this UE another band in the current serving cell </w:t>
            </w:r>
            <w:r w:rsidRPr="00F05D91">
              <w:rPr>
                <w:rFonts w:ascii="Arial" w:eastAsia="Times New Roman" w:hAnsi="Arial" w:cs="Arial"/>
                <w:kern w:val="0"/>
                <w:sz w:val="18"/>
                <w:szCs w:val="20"/>
                <w:lang w:val="en-GB"/>
              </w:rPr>
              <w:t>during RRC connection setup phase</w:t>
            </w:r>
            <w:r w:rsidRPr="00F05D91">
              <w:rPr>
                <w:rFonts w:ascii="Arial" w:eastAsia="宋体" w:hAnsi="Arial" w:cs="Arial"/>
                <w:kern w:val="0"/>
                <w:sz w:val="18"/>
                <w:szCs w:val="20"/>
              </w:rPr>
              <w:t xml:space="preserve"> or </w:t>
            </w:r>
            <w:r w:rsidRPr="00F05D91">
              <w:rPr>
                <w:rFonts w:ascii="Arial" w:eastAsia="Times New Roman" w:hAnsi="Arial" w:cs="Arial"/>
                <w:kern w:val="0"/>
                <w:sz w:val="18"/>
                <w:szCs w:val="20"/>
                <w:lang w:val="en-GB"/>
              </w:rPr>
              <w:t>after RRC connection is established</w:t>
            </w:r>
            <w:r w:rsidRPr="00F05D91">
              <w:rPr>
                <w:rFonts w:ascii="Arial" w:eastAsia="宋体" w:hAnsi="Arial" w:cs="Arial"/>
                <w:kern w:val="0"/>
                <w:sz w:val="18"/>
                <w:szCs w:val="20"/>
              </w:rPr>
              <w:t>. If this happens, in a split gNB the gNB-DU needs to inform the gNB-CU of this change (note that the gNB-CU is not assumed to decode the CellGroupConfig IE), which may be used to update the measurement configuration for the UE.</w:t>
            </w:r>
          </w:p>
          <w:p w14:paraId="6EB29579" w14:textId="4382E711" w:rsidR="00F05D91" w:rsidRPr="00F05D91" w:rsidRDefault="00F05D91" w:rsidP="00F05D91">
            <w:pPr>
              <w:widowControl/>
              <w:overflowPunct w:val="0"/>
              <w:autoSpaceDE w:val="0"/>
              <w:autoSpaceDN w:val="0"/>
              <w:adjustRightInd w:val="0"/>
              <w:snapToGrid w:val="0"/>
              <w:spacing w:after="60"/>
              <w:textAlignment w:val="baseline"/>
              <w:rPr>
                <w:rFonts w:ascii="Arial" w:eastAsia="Times New Roman" w:hAnsi="Arial" w:cs="Arial"/>
                <w:kern w:val="0"/>
                <w:sz w:val="18"/>
                <w:szCs w:val="20"/>
              </w:rPr>
            </w:pPr>
            <w:r w:rsidRPr="00F05D91">
              <w:rPr>
                <w:rFonts w:ascii="Arial" w:eastAsia="宋体" w:hAnsi="Arial" w:cs="Arial"/>
                <w:kern w:val="0"/>
                <w:sz w:val="18"/>
                <w:szCs w:val="20"/>
              </w:rPr>
              <w:t xml:space="preserve">RAN3 has discussed whether the new band selected for the UE can be indicated over F1 using the </w:t>
            </w:r>
            <w:r w:rsidRPr="00F05D91">
              <w:rPr>
                <w:rFonts w:ascii="Arial" w:eastAsia="Times New Roman" w:hAnsi="Arial" w:cs="Arial"/>
                <w:kern w:val="0"/>
                <w:sz w:val="18"/>
                <w:szCs w:val="20"/>
                <w:lang w:val="en-GB"/>
              </w:rPr>
              <w:t>Selected BandCombinationIndex as defined in TS 38.331</w:t>
            </w:r>
            <w:r w:rsidRPr="00F05D91">
              <w:rPr>
                <w:rFonts w:ascii="Arial" w:eastAsia="Times New Roman" w:hAnsi="Arial" w:cs="Arial"/>
                <w:kern w:val="0"/>
                <w:sz w:val="18"/>
                <w:szCs w:val="20"/>
              </w:rPr>
              <w:t>.</w:t>
            </w:r>
          </w:p>
          <w:p w14:paraId="0FE75B22" w14:textId="77777777" w:rsidR="00F05D91" w:rsidRPr="00F05D91" w:rsidRDefault="00F05D91" w:rsidP="00F05D91">
            <w:pPr>
              <w:widowControl/>
              <w:overflowPunct w:val="0"/>
              <w:autoSpaceDE w:val="0"/>
              <w:autoSpaceDN w:val="0"/>
              <w:adjustRightInd w:val="0"/>
              <w:snapToGrid w:val="0"/>
              <w:spacing w:after="60"/>
              <w:textAlignment w:val="baseline"/>
              <w:rPr>
                <w:rFonts w:ascii="Arial" w:eastAsia="Times New Roman" w:hAnsi="Arial" w:cs="Arial"/>
                <w:kern w:val="0"/>
                <w:sz w:val="18"/>
                <w:szCs w:val="20"/>
              </w:rPr>
            </w:pPr>
          </w:p>
          <w:p w14:paraId="541D3D50" w14:textId="77777777" w:rsidR="00F05D91" w:rsidRPr="00F05D91" w:rsidRDefault="00F05D91" w:rsidP="00F05D91">
            <w:pPr>
              <w:widowControl/>
              <w:overflowPunct w:val="0"/>
              <w:autoSpaceDE w:val="0"/>
              <w:autoSpaceDN w:val="0"/>
              <w:adjustRightInd w:val="0"/>
              <w:snapToGrid w:val="0"/>
              <w:spacing w:after="60"/>
              <w:textAlignment w:val="baseline"/>
              <w:rPr>
                <w:rFonts w:ascii="Arial" w:eastAsia="宋体" w:hAnsi="Arial" w:cs="Arial"/>
                <w:kern w:val="0"/>
                <w:sz w:val="18"/>
                <w:szCs w:val="20"/>
              </w:rPr>
            </w:pPr>
            <w:r w:rsidRPr="00F05D91">
              <w:rPr>
                <w:rFonts w:ascii="Arial" w:eastAsia="Times New Roman" w:hAnsi="Arial" w:cs="Arial"/>
                <w:kern w:val="0"/>
                <w:sz w:val="18"/>
                <w:szCs w:val="20"/>
                <w:lang w:val="en-GB"/>
              </w:rPr>
              <w:t xml:space="preserve">Regardless of the split gNB case, RAN3 kindly requests </w:t>
            </w:r>
            <w:r w:rsidRPr="00F05D91">
              <w:rPr>
                <w:rFonts w:ascii="Arial" w:eastAsia="宋体" w:hAnsi="Arial" w:cs="Arial"/>
                <w:kern w:val="0"/>
                <w:sz w:val="18"/>
                <w:szCs w:val="20"/>
              </w:rPr>
              <w:t>RAN2</w:t>
            </w:r>
            <w:r w:rsidRPr="00F05D91">
              <w:rPr>
                <w:rFonts w:ascii="Arial" w:eastAsia="Times New Roman" w:hAnsi="Arial" w:cs="Arial"/>
                <w:kern w:val="0"/>
                <w:sz w:val="18"/>
                <w:szCs w:val="20"/>
                <w:lang w:val="en-GB"/>
              </w:rPr>
              <w:t xml:space="preserve"> to </w:t>
            </w:r>
            <w:r w:rsidRPr="00F05D91">
              <w:rPr>
                <w:rFonts w:ascii="Arial" w:eastAsia="宋体" w:hAnsi="Arial" w:cs="Arial"/>
                <w:kern w:val="0"/>
                <w:sz w:val="18"/>
                <w:szCs w:val="20"/>
              </w:rPr>
              <w:t>confirm that it is possible for the network to change the band on which the UE is served in the scenario above.</w:t>
            </w:r>
          </w:p>
          <w:p w14:paraId="00C617BC" w14:textId="77777777" w:rsidR="00F05D91" w:rsidRPr="00F05D91" w:rsidRDefault="00F05D91" w:rsidP="00F05D91">
            <w:pPr>
              <w:widowControl/>
              <w:overflowPunct w:val="0"/>
              <w:autoSpaceDE w:val="0"/>
              <w:autoSpaceDN w:val="0"/>
              <w:adjustRightInd w:val="0"/>
              <w:snapToGrid w:val="0"/>
              <w:spacing w:after="60"/>
              <w:textAlignment w:val="baseline"/>
              <w:rPr>
                <w:rFonts w:ascii="Arial" w:eastAsia="宋体" w:hAnsi="Arial" w:cs="Arial"/>
                <w:kern w:val="0"/>
                <w:sz w:val="18"/>
                <w:szCs w:val="20"/>
              </w:rPr>
            </w:pPr>
          </w:p>
          <w:p w14:paraId="213E809A" w14:textId="399FE6AB" w:rsidR="00F05D91" w:rsidRPr="00F05D91" w:rsidRDefault="00F05D91" w:rsidP="00F05D91">
            <w:pPr>
              <w:widowControl/>
              <w:overflowPunct w:val="0"/>
              <w:autoSpaceDE w:val="0"/>
              <w:autoSpaceDN w:val="0"/>
              <w:adjustRightInd w:val="0"/>
              <w:snapToGrid w:val="0"/>
              <w:spacing w:after="60"/>
              <w:textAlignment w:val="baseline"/>
              <w:rPr>
                <w:rFonts w:eastAsia="Times New Roman"/>
                <w:kern w:val="0"/>
                <w:sz w:val="18"/>
                <w:szCs w:val="20"/>
                <w:lang w:val="en-GB"/>
              </w:rPr>
            </w:pPr>
            <w:r w:rsidRPr="00F05D91">
              <w:rPr>
                <w:rFonts w:ascii="Arial" w:eastAsia="宋体" w:hAnsi="Arial" w:cs="Arial"/>
                <w:kern w:val="0"/>
                <w:sz w:val="18"/>
                <w:szCs w:val="20"/>
              </w:rPr>
              <w:t xml:space="preserve">RAN3 would also like to ask whether the </w:t>
            </w:r>
            <w:r w:rsidRPr="00F05D91">
              <w:rPr>
                <w:rFonts w:ascii="Arial" w:eastAsia="Times New Roman" w:hAnsi="Arial" w:cs="Arial"/>
                <w:kern w:val="0"/>
                <w:sz w:val="18"/>
                <w:szCs w:val="20"/>
                <w:lang w:val="en-GB"/>
              </w:rPr>
              <w:t>Selected BandCombinationIndex,</w:t>
            </w:r>
            <w:r w:rsidRPr="00F05D91">
              <w:rPr>
                <w:rFonts w:ascii="Arial" w:eastAsia="宋体" w:hAnsi="Arial" w:cs="Arial"/>
                <w:kern w:val="0"/>
                <w:sz w:val="18"/>
                <w:szCs w:val="20"/>
              </w:rPr>
              <w:t xml:space="preserve"> as defined in TS38.331, can be used to indicate the new single band selected in the scenario above</w:t>
            </w:r>
            <w:r w:rsidRPr="00F05D91">
              <w:rPr>
                <w:rFonts w:ascii="Arial" w:eastAsia="Times New Roman" w:hAnsi="Arial" w:cs="Arial"/>
                <w:kern w:val="0"/>
                <w:sz w:val="18"/>
                <w:szCs w:val="20"/>
                <w:lang w:val="en-GB"/>
              </w:rPr>
              <w:t>.</w:t>
            </w:r>
          </w:p>
        </w:tc>
      </w:tr>
    </w:tbl>
    <w:p w14:paraId="27E5929E" w14:textId="5195769B" w:rsidR="00F05D91" w:rsidRDefault="00F05D91" w:rsidP="00AB7A48">
      <w:pPr>
        <w:spacing w:before="120" w:after="0"/>
      </w:pPr>
      <w:r>
        <w:t>The scenario described by RAN3 involves MBFI and measurement</w:t>
      </w:r>
      <w:r w:rsidR="004F5977">
        <w:t xml:space="preserve"> configuration</w:t>
      </w:r>
      <w:r>
        <w:t xml:space="preserve"> </w:t>
      </w:r>
      <w:r w:rsidR="004F5977">
        <w:t>modification</w:t>
      </w:r>
      <w:r>
        <w:t>. In this contributio</w:t>
      </w:r>
      <w:r w:rsidR="0037416C">
        <w:t xml:space="preserve">n, we discuss </w:t>
      </w:r>
      <w:r>
        <w:t>the details and</w:t>
      </w:r>
      <w:r w:rsidR="0037416C">
        <w:t xml:space="preserve"> provid</w:t>
      </w:r>
      <w:r w:rsidR="0037416C">
        <w:rPr>
          <w:rFonts w:hint="eastAsia"/>
        </w:rPr>
        <w:t>e</w:t>
      </w:r>
      <w:r w:rsidR="004F5977">
        <w:t xml:space="preserve"> our view as well as the</w:t>
      </w:r>
      <w:r w:rsidR="0037416C">
        <w:t xml:space="preserve"> draft reply</w:t>
      </w:r>
      <w:r>
        <w:t xml:space="preserve">.  </w:t>
      </w:r>
    </w:p>
    <w:p w14:paraId="038CE1BB" w14:textId="68C0512B" w:rsidR="002257D7" w:rsidRPr="00D835FC" w:rsidRDefault="00EE266E" w:rsidP="00D835F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w:t>
      </w:r>
      <w:r w:rsidR="00D835FC">
        <w:rPr>
          <w:rFonts w:ascii="Arial" w:hAnsi="Arial" w:cs="Arial"/>
          <w:b w:val="0"/>
          <w:bCs w:val="0"/>
          <w:kern w:val="0"/>
          <w:sz w:val="32"/>
          <w:szCs w:val="36"/>
        </w:rPr>
        <w:t>ackground</w:t>
      </w:r>
      <w:r>
        <w:rPr>
          <w:rFonts w:ascii="Arial" w:hAnsi="Arial" w:cs="Arial"/>
          <w:b w:val="0"/>
          <w:bCs w:val="0"/>
          <w:kern w:val="0"/>
          <w:sz w:val="32"/>
          <w:szCs w:val="36"/>
        </w:rPr>
        <w:t xml:space="preserve"> of the problem</w:t>
      </w:r>
    </w:p>
    <w:p w14:paraId="47836BCE" w14:textId="524BE654" w:rsidR="00A918C3" w:rsidRDefault="00657CC9">
      <w:r>
        <w:t xml:space="preserve">According to the </w:t>
      </w:r>
      <w:r w:rsidR="00D43010">
        <w:t>LS</w:t>
      </w:r>
      <w:r>
        <w:t xml:space="preserve">, the scenario </w:t>
      </w:r>
      <w:r w:rsidR="002D6F1F">
        <w:t>RAN3</w:t>
      </w:r>
      <w:r>
        <w:t xml:space="preserve"> were discussing is about multiple bands</w:t>
      </w:r>
      <w:r w:rsidR="002331B6">
        <w:t xml:space="preserve"> (or MFBI)</w:t>
      </w:r>
      <w:r>
        <w:t xml:space="preserve"> cell</w:t>
      </w:r>
      <w:r w:rsidR="002D6F1F">
        <w:t>s</w:t>
      </w:r>
      <w:r w:rsidR="00D43010">
        <w:t>. T</w:t>
      </w:r>
      <w:r w:rsidR="002331B6">
        <w:t>h</w:t>
      </w:r>
      <w:r w:rsidR="00D010C0">
        <w:t>is kind of</w:t>
      </w:r>
      <w:r w:rsidR="002331B6">
        <w:t xml:space="preserve"> </w:t>
      </w:r>
      <w:r>
        <w:t>cell</w:t>
      </w:r>
      <w:r w:rsidR="002331B6">
        <w:t>s</w:t>
      </w:r>
      <w:r>
        <w:t xml:space="preserve"> operating on </w:t>
      </w:r>
      <w:r w:rsidR="00D010C0">
        <w:t>a</w:t>
      </w:r>
      <w:r>
        <w:t xml:space="preserve"> frequency of overlappin</w:t>
      </w:r>
      <w:r w:rsidR="002331B6">
        <w:t xml:space="preserve">g bands, </w:t>
      </w:r>
      <w:r w:rsidR="000601A5">
        <w:t>so</w:t>
      </w:r>
      <w:r w:rsidR="002331B6">
        <w:t xml:space="preserve"> the cell</w:t>
      </w:r>
      <w:r>
        <w:t xml:space="preserve"> broadcast</w:t>
      </w:r>
      <w:r w:rsidR="002331B6">
        <w:t>s</w:t>
      </w:r>
      <w:r>
        <w:t xml:space="preserve"> multiple bands in system information </w:t>
      </w:r>
      <w:r>
        <w:rPr>
          <w:rFonts w:hint="eastAsia"/>
        </w:rPr>
        <w:t>(</w:t>
      </w:r>
      <w:r>
        <w:t xml:space="preserve">i.e. </w:t>
      </w:r>
      <w:r w:rsidR="000601A5">
        <w:t>via</w:t>
      </w:r>
      <w:r w:rsidR="002331B6">
        <w:t xml:space="preserve"> </w:t>
      </w:r>
      <w:r w:rsidR="00A918C3">
        <w:t>frequencyBandList</w:t>
      </w:r>
      <w:r w:rsidR="002331B6">
        <w:t xml:space="preserve"> in SIB1</w:t>
      </w:r>
      <w:r>
        <w:t>).</w:t>
      </w:r>
      <w:r w:rsidR="002331B6">
        <w:t xml:space="preserve"> In NR, when UE performs initial access, the UE will choose the first supported band in </w:t>
      </w:r>
      <w:r w:rsidR="00A918C3">
        <w:t>frequencyBandList</w:t>
      </w:r>
      <w:r w:rsidR="002331B6">
        <w:t xml:space="preserve"> as its selected band. Similarly, after network obtains UE’s capability, the network </w:t>
      </w:r>
      <w:r w:rsidR="008253CF">
        <w:t xml:space="preserve">can </w:t>
      </w:r>
      <w:r w:rsidR="002331B6">
        <w:t xml:space="preserve">also derive </w:t>
      </w:r>
      <w:r w:rsidR="000601A5">
        <w:t>UE’s</w:t>
      </w:r>
      <w:r w:rsidR="002331B6">
        <w:t xml:space="preserve"> </w:t>
      </w:r>
      <w:r w:rsidR="008253CF">
        <w:t xml:space="preserve">selected </w:t>
      </w:r>
      <w:r w:rsidR="002331B6">
        <w:t xml:space="preserve">band </w:t>
      </w:r>
      <w:r w:rsidR="008253CF">
        <w:t>based on UE capability and system information</w:t>
      </w:r>
      <w:r w:rsidR="00A918C3">
        <w:t xml:space="preserve">, </w:t>
      </w:r>
      <w:r w:rsidR="008253CF">
        <w:t>then take</w:t>
      </w:r>
      <w:r w:rsidR="00A918C3">
        <w:t xml:space="preserve"> the </w:t>
      </w:r>
      <w:r w:rsidR="008253CF">
        <w:t xml:space="preserve">selected </w:t>
      </w:r>
      <w:r w:rsidR="00A918C3">
        <w:t>band</w:t>
      </w:r>
      <w:r w:rsidR="008253CF">
        <w:t xml:space="preserve"> into consideration</w:t>
      </w:r>
      <w:r w:rsidR="00A918C3">
        <w:t xml:space="preserve"> for further operation. For instance, setting frequencyBandInfo in MeasObjectNR. </w:t>
      </w:r>
    </w:p>
    <w:p w14:paraId="21BE28BC" w14:textId="2B3E4ADF" w:rsidR="002D6F1F" w:rsidRPr="009346BD" w:rsidRDefault="00A918C3" w:rsidP="009346BD">
      <w:pPr>
        <w:ind w:left="1276" w:hanging="1276"/>
        <w:rPr>
          <w:b/>
        </w:rPr>
      </w:pPr>
      <w:r>
        <w:rPr>
          <w:b/>
        </w:rPr>
        <w:t>Observation</w:t>
      </w:r>
      <w:r>
        <w:rPr>
          <w:rFonts w:hint="eastAsia"/>
          <w:b/>
        </w:rPr>
        <w:t xml:space="preserve"> </w:t>
      </w:r>
      <w:r>
        <w:rPr>
          <w:b/>
        </w:rPr>
        <w:t>1</w:t>
      </w:r>
      <w:r>
        <w:rPr>
          <w:rFonts w:hint="eastAsia"/>
          <w:b/>
        </w:rPr>
        <w:t xml:space="preserve">:  </w:t>
      </w:r>
      <w:r w:rsidR="00FD72D6">
        <w:rPr>
          <w:b/>
        </w:rPr>
        <w:t xml:space="preserve">During initial access to an MFBI cell, </w:t>
      </w:r>
      <w:r w:rsidR="00065456">
        <w:rPr>
          <w:b/>
        </w:rPr>
        <w:t xml:space="preserve">the </w:t>
      </w:r>
      <w:r>
        <w:rPr>
          <w:b/>
        </w:rPr>
        <w:t xml:space="preserve">UE will select the first supported band </w:t>
      </w:r>
      <w:r w:rsidR="00FD72D6">
        <w:rPr>
          <w:b/>
        </w:rPr>
        <w:t xml:space="preserve">broadcast in SIB1, and network </w:t>
      </w:r>
      <w:r w:rsidR="002A17AC">
        <w:rPr>
          <w:b/>
        </w:rPr>
        <w:t>can know</w:t>
      </w:r>
      <w:r w:rsidR="00FD72D6">
        <w:rPr>
          <w:b/>
        </w:rPr>
        <w:t xml:space="preserve"> this information after obtaining UE’s radio capability. </w:t>
      </w:r>
    </w:p>
    <w:p w14:paraId="08D45758" w14:textId="5407434E" w:rsidR="00FD72D6" w:rsidRDefault="002D6F1F">
      <w:r>
        <w:t xml:space="preserve">Although the </w:t>
      </w:r>
      <w:r w:rsidR="009346BD">
        <w:t xml:space="preserve">NR </w:t>
      </w:r>
      <w:r>
        <w:t xml:space="preserve">band is </w:t>
      </w:r>
      <w:r w:rsidR="009346BD">
        <w:t xml:space="preserve">initially </w:t>
      </w:r>
      <w:r>
        <w:t>selected by UE during initial access, i</w:t>
      </w:r>
      <w:r w:rsidR="000601A5">
        <w:t xml:space="preserve">n RAN3, companies </w:t>
      </w:r>
      <w:r w:rsidR="00E74648">
        <w:t xml:space="preserve">discussed </w:t>
      </w:r>
      <w:r w:rsidR="00657F4F">
        <w:t>the scenario</w:t>
      </w:r>
      <w:r w:rsidR="000601A5">
        <w:t xml:space="preserve"> that gNB-DU may want to change UE’s selected band</w:t>
      </w:r>
      <w:r w:rsidR="002861FA">
        <w:t xml:space="preserve"> </w:t>
      </w:r>
      <w:r w:rsidR="00657F4F">
        <w:t>due to</w:t>
      </w:r>
      <w:r w:rsidR="002861FA">
        <w:t xml:space="preserve"> </w:t>
      </w:r>
      <w:r w:rsidR="001B6439">
        <w:t>resource limitation in DU, in this case, gNB-DU needs to in</w:t>
      </w:r>
      <w:r w:rsidR="00D37264">
        <w:t xml:space="preserve">form </w:t>
      </w:r>
      <w:r w:rsidR="00292CED">
        <w:t>gNB-CU about the update</w:t>
      </w:r>
      <w:r w:rsidR="00E74648">
        <w:t>d</w:t>
      </w:r>
      <w:r w:rsidR="00292CED">
        <w:t xml:space="preserve"> band</w:t>
      </w:r>
      <w:r w:rsidR="00E74648">
        <w:t>,</w:t>
      </w:r>
      <w:r w:rsidR="00292CED">
        <w:t xml:space="preserve"> so</w:t>
      </w:r>
      <w:r w:rsidR="00E74648">
        <w:t xml:space="preserve"> that</w:t>
      </w:r>
      <w:r w:rsidR="00292CED">
        <w:t xml:space="preserve"> gNB-CU can trigger RRC procedure </w:t>
      </w:r>
      <w:r w:rsidR="00E74648">
        <w:t xml:space="preserve">to </w:t>
      </w:r>
      <w:r w:rsidR="005A153F">
        <w:t xml:space="preserve">inform UE about the updated </w:t>
      </w:r>
      <w:r w:rsidR="005A153F">
        <w:lastRenderedPageBreak/>
        <w:t>band</w:t>
      </w:r>
      <w:r>
        <w:t xml:space="preserve"> (</w:t>
      </w:r>
      <w:r w:rsidR="009346BD">
        <w:t>e.g. change the band information in FrequencyInfoDL in ServingCellConfigCommon</w:t>
      </w:r>
      <w:r>
        <w:t>)</w:t>
      </w:r>
      <w:r w:rsidR="00292CED">
        <w:t>.</w:t>
      </w:r>
      <w:r w:rsidR="00657F4F">
        <w:t xml:space="preserve"> This can be done by triggering intra-cell handover (e.g. RRCReconfiguration includes </w:t>
      </w:r>
      <w:r w:rsidR="00657F4F" w:rsidRPr="00303C87">
        <w:rPr>
          <w:i/>
        </w:rPr>
        <w:t>reconfigurationWithSync</w:t>
      </w:r>
      <w:r w:rsidR="00657F4F">
        <w:t xml:space="preserve">). </w:t>
      </w:r>
    </w:p>
    <w:p w14:paraId="385DCA14" w14:textId="0CE74580" w:rsidR="009346BD" w:rsidRPr="009346BD" w:rsidRDefault="009346BD" w:rsidP="009346BD">
      <w:pPr>
        <w:ind w:left="1276" w:hanging="1276"/>
        <w:rPr>
          <w:b/>
        </w:rPr>
      </w:pPr>
      <w:r>
        <w:rPr>
          <w:b/>
        </w:rPr>
        <w:t>Observation</w:t>
      </w:r>
      <w:r>
        <w:rPr>
          <w:rFonts w:hint="eastAsia"/>
          <w:b/>
        </w:rPr>
        <w:t xml:space="preserve"> </w:t>
      </w:r>
      <w:r>
        <w:rPr>
          <w:b/>
        </w:rPr>
        <w:t>2</w:t>
      </w:r>
      <w:r>
        <w:rPr>
          <w:rFonts w:hint="eastAsia"/>
          <w:b/>
        </w:rPr>
        <w:t xml:space="preserve">:  </w:t>
      </w:r>
      <w:r>
        <w:rPr>
          <w:b/>
        </w:rPr>
        <w:t>Network can trigger intra-cell handover to update the served band of serving cell</w:t>
      </w:r>
      <w:r w:rsidR="009F141A">
        <w:rPr>
          <w:b/>
        </w:rPr>
        <w:t>,</w:t>
      </w:r>
      <w:r>
        <w:rPr>
          <w:b/>
        </w:rPr>
        <w:t xml:space="preserve"> </w:t>
      </w:r>
      <w:r w:rsidR="009F141A">
        <w:rPr>
          <w:b/>
        </w:rPr>
        <w:t>and the new NR band can be selected by gNB-DU.</w:t>
      </w:r>
    </w:p>
    <w:p w14:paraId="184FDD7C" w14:textId="2BE9C955" w:rsidR="0034220A" w:rsidRDefault="009346BD">
      <w:r>
        <w:t>In addition to updat</w:t>
      </w:r>
      <w:r w:rsidR="009F141A">
        <w:t>ing</w:t>
      </w:r>
      <w:r>
        <w:t xml:space="preserve"> the frequency band info of serving cell in ServingCellConfigCommon, </w:t>
      </w:r>
      <w:r w:rsidR="009F141A">
        <w:t>an</w:t>
      </w:r>
      <w:r>
        <w:t>other aspect identified by RAN3 is to update measurement</w:t>
      </w:r>
      <w:r w:rsidR="009F141A">
        <w:t xml:space="preserve"> and/or gap</w:t>
      </w:r>
      <w:r>
        <w:t xml:space="preserve"> configurat</w:t>
      </w:r>
      <w:r w:rsidR="009F141A">
        <w:t>ion at the same time</w:t>
      </w:r>
      <w:r>
        <w:t xml:space="preserve">. </w:t>
      </w:r>
      <w:r w:rsidR="009F141A">
        <w:t>For instance, the UE and NR cell support both band n2 and band n25, after initial access, the UE and network know that band n2 is selected by UE. For serving cell measurement, network configures measObjectNR by setting “</w:t>
      </w:r>
      <w:r w:rsidR="009F141A" w:rsidRPr="002A02A7">
        <w:t>freqBandIndicatorNR</w:t>
      </w:r>
      <w:r w:rsidR="009F141A">
        <w:t xml:space="preserve"> = n2”, and provides corresponding A1/A2 measurement configurations. Once network determines to change the served NR band to “n25”, network needs to release and re-add</w:t>
      </w:r>
      <w:r w:rsidR="006B50AF">
        <w:t xml:space="preserve"> the measObjectNR by changing freqBandIndicatorNR field to “n25”, otherwise, there </w:t>
      </w:r>
      <w:r w:rsidR="0034220A">
        <w:t>will be</w:t>
      </w:r>
      <w:r w:rsidR="006B50AF">
        <w:t xml:space="preserve"> mismatch between serving cell MO and </w:t>
      </w:r>
      <w:r w:rsidR="0034220A">
        <w:t>serving</w:t>
      </w:r>
      <w:r w:rsidR="006B50AF">
        <w:t xml:space="preserve"> band in ServingCellConfigCommon-&gt;Frequency</w:t>
      </w:r>
      <w:r w:rsidR="0034220A">
        <w:t xml:space="preserve">InfoDL, in </w:t>
      </w:r>
      <w:r w:rsidR="00796C31">
        <w:t>this case</w:t>
      </w:r>
      <w:r w:rsidR="0034220A">
        <w:t>, UE may probably treat the measurement as inter-freq measurements</w:t>
      </w:r>
      <w:r w:rsidR="00796C31">
        <w:t>, and may trigger RRC reconfiguration failure because event A1/A2 are restricted to intra-freq measurement</w:t>
      </w:r>
      <w:r w:rsidR="0034220A">
        <w:t xml:space="preserve">. </w:t>
      </w:r>
    </w:p>
    <w:p w14:paraId="4BF4073C" w14:textId="3331858A" w:rsidR="0034220A" w:rsidRPr="009346BD" w:rsidRDefault="0034220A" w:rsidP="0034220A">
      <w:pPr>
        <w:ind w:left="1276" w:hanging="1276"/>
        <w:rPr>
          <w:b/>
        </w:rPr>
      </w:pPr>
      <w:r>
        <w:rPr>
          <w:b/>
        </w:rPr>
        <w:t>Observation</w:t>
      </w:r>
      <w:r>
        <w:rPr>
          <w:rFonts w:hint="eastAsia"/>
          <w:b/>
        </w:rPr>
        <w:t xml:space="preserve"> </w:t>
      </w:r>
      <w:r>
        <w:rPr>
          <w:b/>
        </w:rPr>
        <w:t>3</w:t>
      </w:r>
      <w:r>
        <w:rPr>
          <w:rFonts w:hint="eastAsia"/>
          <w:b/>
        </w:rPr>
        <w:t xml:space="preserve">:  </w:t>
      </w:r>
      <w:r>
        <w:rPr>
          <w:b/>
        </w:rPr>
        <w:t>When network updates the served band of serving cell, network may also need to update the measObjectNR of serving frequencies.</w:t>
      </w:r>
    </w:p>
    <w:p w14:paraId="02A423AD" w14:textId="1FED6580" w:rsidR="002D6F1F" w:rsidRDefault="0034220A" w:rsidP="0034220A">
      <w:r>
        <w:t>Therefore, RAN3 wants to clarify when and how can gNB-DU perfo</w:t>
      </w:r>
      <w:r w:rsidR="002F5CE0">
        <w:t>rm</w:t>
      </w:r>
      <w:r>
        <w:t xml:space="preserve"> </w:t>
      </w:r>
      <w:r w:rsidR="002F5CE0">
        <w:t>band updation, and inform</w:t>
      </w:r>
      <w:r>
        <w:t xml:space="preserve"> gNB-CU about the newly selected band. </w:t>
      </w:r>
    </w:p>
    <w:p w14:paraId="10F12455" w14:textId="4B7D75D2" w:rsidR="002D6F1F" w:rsidRPr="00D835FC" w:rsidRDefault="002D6F1F" w:rsidP="002D6F1F">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6DF952FA" w14:textId="023D90DA" w:rsidR="002D6F1F" w:rsidRDefault="00B80527">
      <w:r>
        <w:t>In RAN3’</w:t>
      </w:r>
      <w:r w:rsidR="00A31E9A">
        <w:t>s LS, RAN3 asks the following two questions</w:t>
      </w:r>
      <w:r>
        <w:t>:</w:t>
      </w:r>
    </w:p>
    <w:p w14:paraId="081A854E" w14:textId="6720475A" w:rsidR="00B80527" w:rsidRPr="00B80527" w:rsidRDefault="00B80527" w:rsidP="00B80527">
      <w:pPr>
        <w:rPr>
          <w:rFonts w:eastAsia="宋体"/>
          <w:i/>
          <w:color w:val="0070C0"/>
          <w:kern w:val="0"/>
          <w:sz w:val="18"/>
          <w:szCs w:val="20"/>
        </w:rPr>
      </w:pPr>
      <w:r>
        <w:rPr>
          <w:rFonts w:eastAsia="宋体"/>
          <w:i/>
          <w:color w:val="0070C0"/>
          <w:kern w:val="0"/>
          <w:sz w:val="18"/>
          <w:szCs w:val="20"/>
        </w:rPr>
        <w:t xml:space="preserve">Q1: </w:t>
      </w:r>
      <w:r w:rsidRPr="00B80527">
        <w:rPr>
          <w:rFonts w:eastAsia="宋体"/>
          <w:i/>
          <w:color w:val="0070C0"/>
          <w:kern w:val="0"/>
          <w:sz w:val="18"/>
          <w:szCs w:val="20"/>
        </w:rPr>
        <w:t>Regardless of the split gNB case, RAN3 kindly requests RAN2 to confirm that it is possible for the network to change the band on which the UE is served in the scenario above.</w:t>
      </w:r>
    </w:p>
    <w:p w14:paraId="6521A127" w14:textId="2D2C6AEB" w:rsidR="00B80527" w:rsidRPr="00A31E9A" w:rsidRDefault="00B80527">
      <w:pPr>
        <w:rPr>
          <w:i/>
          <w:color w:val="0070C0"/>
        </w:rPr>
      </w:pPr>
      <w:r>
        <w:rPr>
          <w:rFonts w:eastAsia="宋体"/>
          <w:i/>
          <w:color w:val="0070C0"/>
          <w:kern w:val="0"/>
          <w:sz w:val="18"/>
          <w:szCs w:val="20"/>
        </w:rPr>
        <w:t xml:space="preserve">Q2: </w:t>
      </w:r>
      <w:r w:rsidRPr="00B80527">
        <w:rPr>
          <w:rFonts w:eastAsia="宋体"/>
          <w:i/>
          <w:color w:val="0070C0"/>
          <w:kern w:val="0"/>
          <w:sz w:val="18"/>
          <w:szCs w:val="20"/>
        </w:rPr>
        <w:t xml:space="preserve">RAN3 would also like to ask whether the </w:t>
      </w:r>
      <w:r w:rsidRPr="00B80527">
        <w:rPr>
          <w:rFonts w:eastAsia="Times New Roman"/>
          <w:i/>
          <w:color w:val="0070C0"/>
          <w:kern w:val="0"/>
          <w:sz w:val="18"/>
          <w:szCs w:val="20"/>
          <w:lang w:val="en-GB"/>
        </w:rPr>
        <w:t>Selected BandCombinationIndex,</w:t>
      </w:r>
      <w:r w:rsidRPr="00B80527">
        <w:rPr>
          <w:rFonts w:eastAsia="宋体"/>
          <w:i/>
          <w:color w:val="0070C0"/>
          <w:kern w:val="0"/>
          <w:sz w:val="18"/>
          <w:szCs w:val="20"/>
        </w:rPr>
        <w:t xml:space="preserve"> as defined in TS38.331, can be used to indicate the new single band selected in the scenario above</w:t>
      </w:r>
      <w:r w:rsidRPr="00B80527">
        <w:rPr>
          <w:rFonts w:eastAsia="Times New Roman"/>
          <w:i/>
          <w:color w:val="0070C0"/>
          <w:kern w:val="0"/>
          <w:sz w:val="18"/>
          <w:szCs w:val="20"/>
          <w:lang w:val="en-GB"/>
        </w:rPr>
        <w:t>.</w:t>
      </w:r>
    </w:p>
    <w:p w14:paraId="71EFFF87" w14:textId="7DB541AB" w:rsidR="007470BE" w:rsidRDefault="008C0EE9">
      <w:r w:rsidRPr="008C0EE9">
        <w:rPr>
          <w:rFonts w:ascii="Arial" w:hAnsi="Arial" w:cs="Arial"/>
          <w:i/>
          <w:sz w:val="18"/>
          <w:highlight w:val="green"/>
          <w:u w:val="single"/>
        </w:rPr>
        <w:t xml:space="preserve">When </w:t>
      </w:r>
      <w:r>
        <w:rPr>
          <w:rFonts w:ascii="Arial" w:hAnsi="Arial" w:cs="Arial"/>
          <w:i/>
          <w:sz w:val="18"/>
          <w:highlight w:val="green"/>
          <w:u w:val="single"/>
        </w:rPr>
        <w:t xml:space="preserve">can </w:t>
      </w:r>
      <w:r w:rsidRPr="008C0EE9">
        <w:rPr>
          <w:rFonts w:ascii="Arial" w:hAnsi="Arial" w:cs="Arial"/>
          <w:i/>
          <w:sz w:val="18"/>
          <w:highlight w:val="green"/>
          <w:u w:val="single"/>
        </w:rPr>
        <w:t xml:space="preserve">network change </w:t>
      </w:r>
      <w:r>
        <w:rPr>
          <w:rFonts w:ascii="Arial" w:hAnsi="Arial" w:cs="Arial"/>
          <w:i/>
          <w:sz w:val="18"/>
          <w:highlight w:val="green"/>
          <w:u w:val="single"/>
        </w:rPr>
        <w:t xml:space="preserve">the </w:t>
      </w:r>
      <w:r w:rsidRPr="008C0EE9">
        <w:rPr>
          <w:rFonts w:ascii="Arial" w:hAnsi="Arial" w:cs="Arial"/>
          <w:i/>
          <w:sz w:val="18"/>
          <w:highlight w:val="green"/>
          <w:u w:val="single"/>
        </w:rPr>
        <w:t>served band?</w:t>
      </w:r>
      <w:r>
        <w:br/>
      </w:r>
      <w:r w:rsidR="00A31E9A">
        <w:t xml:space="preserve">For Q1, the intention is to clarify whether </w:t>
      </w:r>
      <w:r>
        <w:t xml:space="preserve">can </w:t>
      </w:r>
      <w:r w:rsidR="00A31E9A">
        <w:t>network change</w:t>
      </w:r>
      <w:r w:rsidR="002F5CE0">
        <w:t xml:space="preserve"> the served band</w:t>
      </w:r>
      <w:r w:rsidR="007470BE">
        <w:t xml:space="preserve"> in the following two cases:</w:t>
      </w:r>
    </w:p>
    <w:p w14:paraId="7E044916" w14:textId="638E2E33" w:rsidR="007470BE" w:rsidRDefault="007470BE" w:rsidP="007470BE">
      <w:pPr>
        <w:pStyle w:val="afffffff3"/>
        <w:numPr>
          <w:ilvl w:val="0"/>
          <w:numId w:val="23"/>
        </w:numPr>
      </w:pPr>
      <w:r>
        <w:t>Case1: D</w:t>
      </w:r>
      <w:r w:rsidR="002F5CE0">
        <w:t>uring RRC connection setup p</w:t>
      </w:r>
      <w:r>
        <w:t>rocedure, e.g. via RRCSetup message;</w:t>
      </w:r>
    </w:p>
    <w:p w14:paraId="748987A6" w14:textId="77F375F5" w:rsidR="002F5CE0" w:rsidRDefault="007470BE" w:rsidP="007470BE">
      <w:pPr>
        <w:pStyle w:val="afffffff3"/>
        <w:numPr>
          <w:ilvl w:val="0"/>
          <w:numId w:val="23"/>
        </w:numPr>
      </w:pPr>
      <w:r>
        <w:t>Case2:</w:t>
      </w:r>
      <w:r w:rsidR="002F5CE0">
        <w:t xml:space="preserve"> </w:t>
      </w:r>
      <w:r>
        <w:t>A</w:t>
      </w:r>
      <w:r w:rsidR="002F5CE0">
        <w:t>fter RRC connection is</w:t>
      </w:r>
      <w:r>
        <w:t xml:space="preserve"> established, e.g. via RRCReconfiguration message. </w:t>
      </w:r>
    </w:p>
    <w:p w14:paraId="6B71AC7B" w14:textId="36718A43" w:rsidR="00A31E9A" w:rsidRDefault="002F5CE0">
      <w:r>
        <w:t xml:space="preserve">As mentioned above, </w:t>
      </w:r>
      <w:r w:rsidR="007470BE">
        <w:t xml:space="preserve">the served NR band must be supported by UE. So before chaging the served NR band, the network should first </w:t>
      </w:r>
      <w:r>
        <w:t>acquire UE’s radio capabilit</w:t>
      </w:r>
      <w:r w:rsidR="007470BE">
        <w:t>y to obtain UE’s supported band list. During initial access procedure, the UE radio capability</w:t>
      </w:r>
      <w:r w:rsidR="00CE5326">
        <w:t xml:space="preserve"> may be forwarded to gNB from AMF in first NG-C message (UE Context Setup Request), or via Uu </w:t>
      </w:r>
      <w:r w:rsidR="005F5E93">
        <w:t>UE</w:t>
      </w:r>
      <w:r w:rsidR="00CE5326">
        <w:t>Capability</w:t>
      </w:r>
      <w:r w:rsidR="005F5E93">
        <w:t>E</w:t>
      </w:r>
      <w:r w:rsidR="00CE5326">
        <w:t xml:space="preserve">nquiry </w:t>
      </w:r>
      <w:r w:rsidR="005F5E93">
        <w:t xml:space="preserve">procedure, but both of them occur after delivering RRCSetup message. So it is impossible for network to change the served band during RRC connection setup procedure. </w:t>
      </w:r>
      <w:r w:rsidR="00CE5326">
        <w:t xml:space="preserve"> </w:t>
      </w:r>
      <w:r w:rsidR="007470BE">
        <w:t xml:space="preserve"> </w:t>
      </w:r>
      <w:r>
        <w:t xml:space="preserve"> </w:t>
      </w:r>
    </w:p>
    <w:p w14:paraId="717BBA23" w14:textId="0DB38A86" w:rsidR="00EE266E" w:rsidRPr="00FD72D6" w:rsidRDefault="00EE266E" w:rsidP="00EE266E">
      <w:pPr>
        <w:ind w:left="1276" w:hanging="1276"/>
        <w:rPr>
          <w:b/>
        </w:rPr>
      </w:pPr>
      <w:r>
        <w:rPr>
          <w:b/>
        </w:rPr>
        <w:t>Observation</w:t>
      </w:r>
      <w:r>
        <w:rPr>
          <w:rFonts w:hint="eastAsia"/>
          <w:b/>
        </w:rPr>
        <w:t xml:space="preserve"> </w:t>
      </w:r>
      <w:r w:rsidR="00413495">
        <w:rPr>
          <w:b/>
        </w:rPr>
        <w:t>4</w:t>
      </w:r>
      <w:r>
        <w:rPr>
          <w:rFonts w:hint="eastAsia"/>
          <w:b/>
        </w:rPr>
        <w:t xml:space="preserve">:  </w:t>
      </w:r>
      <w:r w:rsidR="003E0DAA">
        <w:rPr>
          <w:b/>
        </w:rPr>
        <w:t xml:space="preserve">The network cannot </w:t>
      </w:r>
      <w:r w:rsidR="00A31E9A">
        <w:rPr>
          <w:b/>
        </w:rPr>
        <w:t>change</w:t>
      </w:r>
      <w:r w:rsidR="003E0DAA">
        <w:rPr>
          <w:b/>
        </w:rPr>
        <w:t xml:space="preserve"> the served band during RRC connection setup procedure, because network does not know UE’s capability (e.g. supported bands) at that time</w:t>
      </w:r>
      <w:r>
        <w:rPr>
          <w:b/>
        </w:rPr>
        <w:t xml:space="preserve">. </w:t>
      </w:r>
    </w:p>
    <w:p w14:paraId="753F25BE" w14:textId="671B9CC6" w:rsidR="005F5E93" w:rsidRPr="005F5E93" w:rsidRDefault="005F5E93" w:rsidP="005F5E93">
      <w:r w:rsidRPr="005F5E93">
        <w:t xml:space="preserve">In addition, </w:t>
      </w:r>
      <w:r>
        <w:t xml:space="preserve">for RRC connection resume procedure, although it was not mentioned in RAN3’s LS, and network already had UE radio capability in stored UE context, the network cannot trigger band change in RRCResume message, because based on the current TS 38.331, RRCResume message cannot include </w:t>
      </w:r>
      <w:r w:rsidRPr="00B40643">
        <w:rPr>
          <w:i/>
        </w:rPr>
        <w:t>reconfigurationWithSync</w:t>
      </w:r>
      <w:r>
        <w:t xml:space="preserve"> field, so it can not carry </w:t>
      </w:r>
      <w:r w:rsidR="00B40643" w:rsidRPr="00B40643">
        <w:rPr>
          <w:i/>
        </w:rPr>
        <w:t>FrequencyInfoDL</w:t>
      </w:r>
      <w:r w:rsidR="00B40643">
        <w:t xml:space="preserve"> field. </w:t>
      </w:r>
      <w:r>
        <w:t xml:space="preserve">  </w:t>
      </w:r>
    </w:p>
    <w:p w14:paraId="687F0B4F" w14:textId="36DA3B50" w:rsidR="00C130FB" w:rsidRPr="00FD72D6" w:rsidRDefault="00C130FB" w:rsidP="00C130FB">
      <w:pPr>
        <w:ind w:left="1276" w:hanging="1276"/>
        <w:rPr>
          <w:b/>
        </w:rPr>
      </w:pPr>
      <w:r>
        <w:rPr>
          <w:b/>
        </w:rPr>
        <w:lastRenderedPageBreak/>
        <w:t>Observation</w:t>
      </w:r>
      <w:r>
        <w:rPr>
          <w:rFonts w:hint="eastAsia"/>
          <w:b/>
        </w:rPr>
        <w:t xml:space="preserve"> </w:t>
      </w:r>
      <w:r w:rsidR="00413495">
        <w:rPr>
          <w:b/>
        </w:rPr>
        <w:t>5</w:t>
      </w:r>
      <w:r>
        <w:rPr>
          <w:rFonts w:hint="eastAsia"/>
          <w:b/>
        </w:rPr>
        <w:t xml:space="preserve">:  </w:t>
      </w:r>
      <w:r>
        <w:rPr>
          <w:b/>
        </w:rPr>
        <w:t xml:space="preserve">The network cannot </w:t>
      </w:r>
      <w:r w:rsidR="00A31E9A">
        <w:rPr>
          <w:b/>
        </w:rPr>
        <w:t>change</w:t>
      </w:r>
      <w:r>
        <w:rPr>
          <w:b/>
        </w:rPr>
        <w:t xml:space="preserve"> the served band during RRC connection resume procedure, because RRCResume message cannot carry </w:t>
      </w:r>
      <w:r w:rsidRPr="00303C87">
        <w:rPr>
          <w:b/>
          <w:i/>
        </w:rPr>
        <w:t>reconfigurationWithSync</w:t>
      </w:r>
      <w:r>
        <w:rPr>
          <w:b/>
        </w:rPr>
        <w:t xml:space="preserve"> field. </w:t>
      </w:r>
    </w:p>
    <w:p w14:paraId="407BCD48" w14:textId="5BB5A777" w:rsidR="00C130FB" w:rsidRDefault="00DE1003">
      <w:r>
        <w:t>While after RRC connection is established, and gNB already receives UE’s radio capaiblity, it is possbile to update the served NR band by triggering intra-frequency handover procedure. So regarding RAN3’s first question, we propose:</w:t>
      </w:r>
    </w:p>
    <w:p w14:paraId="3CC002DD" w14:textId="42159081" w:rsidR="003E0DAA" w:rsidRPr="00BB780E" w:rsidRDefault="003E0DAA" w:rsidP="00BB780E">
      <w:pPr>
        <w:spacing w:before="156" w:line="276" w:lineRule="auto"/>
        <w:ind w:left="993" w:hanging="993"/>
        <w:rPr>
          <w:b/>
        </w:rPr>
      </w:pPr>
      <w:r>
        <w:rPr>
          <w:b/>
        </w:rPr>
        <w:t xml:space="preserve">Proposal 1: Reply to RAN3 that network can change the </w:t>
      </w:r>
      <w:r w:rsidR="003E4381">
        <w:rPr>
          <w:b/>
        </w:rPr>
        <w:t xml:space="preserve">UE’s served </w:t>
      </w:r>
      <w:r>
        <w:rPr>
          <w:b/>
        </w:rPr>
        <w:t>band only after RRC connection is established and UE’s radio capability is obtained</w:t>
      </w:r>
      <w:r w:rsidR="001D292F">
        <w:rPr>
          <w:b/>
        </w:rPr>
        <w:t xml:space="preserve"> (i.e. updating band during RRC connection setup or RRC connection resume is not supported)</w:t>
      </w:r>
      <w:r>
        <w:rPr>
          <w:rFonts w:hint="eastAsia"/>
          <w:b/>
        </w:rPr>
        <w:t>.</w:t>
      </w:r>
    </w:p>
    <w:p w14:paraId="2D3AA430" w14:textId="12191708" w:rsidR="003E0DAA" w:rsidRDefault="00BB780E">
      <w:r w:rsidRPr="008C0EE9">
        <w:rPr>
          <w:rFonts w:ascii="Arial" w:hAnsi="Arial" w:cs="Arial"/>
          <w:i/>
          <w:sz w:val="18"/>
          <w:highlight w:val="green"/>
          <w:u w:val="single"/>
        </w:rPr>
        <w:t>Wh</w:t>
      </w:r>
      <w:r>
        <w:rPr>
          <w:rFonts w:ascii="Arial" w:hAnsi="Arial" w:cs="Arial"/>
          <w:i/>
          <w:sz w:val="18"/>
          <w:highlight w:val="green"/>
          <w:u w:val="single"/>
        </w:rPr>
        <w:t>ether</w:t>
      </w:r>
      <w:r w:rsidRPr="008C0EE9">
        <w:rPr>
          <w:rFonts w:ascii="Arial" w:hAnsi="Arial" w:cs="Arial"/>
          <w:i/>
          <w:sz w:val="18"/>
          <w:highlight w:val="green"/>
          <w:u w:val="single"/>
        </w:rPr>
        <w:t xml:space="preserve"> </w:t>
      </w:r>
      <w:r>
        <w:rPr>
          <w:rFonts w:ascii="Arial" w:hAnsi="Arial" w:cs="Arial"/>
          <w:i/>
          <w:sz w:val="18"/>
          <w:highlight w:val="green"/>
          <w:u w:val="single"/>
        </w:rPr>
        <w:t>the BandCombinationIndex can be used to indicate</w:t>
      </w:r>
      <w:r w:rsidRPr="008C0EE9">
        <w:rPr>
          <w:rFonts w:ascii="Arial" w:hAnsi="Arial" w:cs="Arial"/>
          <w:i/>
          <w:sz w:val="18"/>
          <w:highlight w:val="green"/>
          <w:u w:val="single"/>
        </w:rPr>
        <w:t xml:space="preserve"> </w:t>
      </w:r>
      <w:r>
        <w:rPr>
          <w:rFonts w:ascii="Arial" w:hAnsi="Arial" w:cs="Arial"/>
          <w:i/>
          <w:sz w:val="18"/>
          <w:highlight w:val="green"/>
          <w:u w:val="single"/>
        </w:rPr>
        <w:t xml:space="preserve">the </w:t>
      </w:r>
      <w:r w:rsidRPr="008C0EE9">
        <w:rPr>
          <w:rFonts w:ascii="Arial" w:hAnsi="Arial" w:cs="Arial"/>
          <w:i/>
          <w:sz w:val="18"/>
          <w:highlight w:val="green"/>
          <w:u w:val="single"/>
        </w:rPr>
        <w:t>s</w:t>
      </w:r>
      <w:r>
        <w:rPr>
          <w:rFonts w:ascii="Arial" w:hAnsi="Arial" w:cs="Arial"/>
          <w:i/>
          <w:sz w:val="18"/>
          <w:highlight w:val="green"/>
          <w:u w:val="single"/>
        </w:rPr>
        <w:t>elected</w:t>
      </w:r>
      <w:r w:rsidRPr="008C0EE9">
        <w:rPr>
          <w:rFonts w:ascii="Arial" w:hAnsi="Arial" w:cs="Arial"/>
          <w:i/>
          <w:sz w:val="18"/>
          <w:highlight w:val="green"/>
          <w:u w:val="single"/>
        </w:rPr>
        <w:t xml:space="preserve"> band?</w:t>
      </w:r>
    </w:p>
    <w:p w14:paraId="1829C3DD" w14:textId="16CAE137" w:rsidR="00CF7A30" w:rsidRDefault="00BB780E">
      <w:r>
        <w:t>The other question Q2 is to clarify</w:t>
      </w:r>
      <w:r w:rsidR="00CF7A30">
        <w:t xml:space="preserve"> that in split gNB case,</w:t>
      </w:r>
      <w:r>
        <w:t xml:space="preserve"> </w:t>
      </w:r>
      <w:r w:rsidR="00A757E1">
        <w:t xml:space="preserve">if gNB-DU decide to change the band of </w:t>
      </w:r>
      <w:r w:rsidR="00105AD3">
        <w:t xml:space="preserve">UE’s serving band, whether gNB DU can inform CU about the </w:t>
      </w:r>
      <w:r w:rsidR="00802556">
        <w:rPr>
          <w:rFonts w:hint="eastAsia"/>
        </w:rPr>
        <w:t>newl</w:t>
      </w:r>
      <w:r w:rsidR="00802556">
        <w:t xml:space="preserve">y </w:t>
      </w:r>
      <w:r w:rsidR="00105AD3">
        <w:t>selected band by reusing existing</w:t>
      </w:r>
      <w:r>
        <w:t xml:space="preserve"> </w:t>
      </w:r>
      <w:r w:rsidR="00802556">
        <w:t xml:space="preserve">field </w:t>
      </w:r>
      <w:r w:rsidR="00A757E1">
        <w:t xml:space="preserve">“Selected </w:t>
      </w:r>
      <w:r w:rsidR="00CF7A30">
        <w:t xml:space="preserve">BandCombinationIndex” </w:t>
      </w:r>
      <w:r w:rsidR="00105AD3">
        <w:rPr>
          <w:rFonts w:hint="eastAsia"/>
        </w:rPr>
        <w:t>(</w:t>
      </w:r>
      <w:r w:rsidR="00105AD3">
        <w:t>see below)</w:t>
      </w:r>
      <w:r w:rsidR="00CF7A30">
        <w:t>?</w:t>
      </w:r>
    </w:p>
    <w:p w14:paraId="09E51F96" w14:textId="135171F4" w:rsidR="00A757E1" w:rsidRDefault="00A757E1">
      <w:r>
        <w:t xml:space="preserve">~~~~~~~~~~~~~~~~~~~~~~~~~~~~~~~~ TS 38.473 </w:t>
      </w:r>
      <w:r w:rsidR="00802556">
        <w:t>S</w:t>
      </w:r>
      <w:r>
        <w:t>tart ~~~~~~~~~~~~~~~~~~~~~~~~~~~~~~~~~~~~~~</w:t>
      </w:r>
    </w:p>
    <w:p w14:paraId="17668DE4" w14:textId="69AB04ED" w:rsidR="00A757E1" w:rsidRPr="00A757E1" w:rsidRDefault="00A757E1" w:rsidP="00A655F5">
      <w:pPr>
        <w:keepNext/>
        <w:keepLines/>
        <w:widowControl/>
        <w:overflowPunct w:val="0"/>
        <w:autoSpaceDE w:val="0"/>
        <w:autoSpaceDN w:val="0"/>
        <w:adjustRightInd w:val="0"/>
        <w:spacing w:before="120" w:after="180"/>
        <w:jc w:val="left"/>
        <w:textAlignment w:val="baseline"/>
        <w:rPr>
          <w:rFonts w:ascii="Arial" w:eastAsia="Times New Roman" w:hAnsi="Arial"/>
          <w:kern w:val="0"/>
          <w:sz w:val="24"/>
          <w:szCs w:val="20"/>
          <w:lang w:val="en-GB"/>
        </w:rPr>
      </w:pPr>
      <w:bookmarkStart w:id="3" w:name="_Toc20955930"/>
      <w:bookmarkStart w:id="4" w:name="_Toc29893048"/>
      <w:bookmarkStart w:id="5" w:name="_Toc36556985"/>
      <w:bookmarkStart w:id="6" w:name="_Toc45832433"/>
      <w:r w:rsidRPr="00A757E1">
        <w:rPr>
          <w:rFonts w:ascii="Arial" w:eastAsia="Times New Roman" w:hAnsi="Arial"/>
          <w:kern w:val="0"/>
          <w:sz w:val="24"/>
          <w:szCs w:val="20"/>
          <w:lang w:val="en-GB"/>
        </w:rPr>
        <w:t>9.3.1.26</w:t>
      </w:r>
      <w:r w:rsidRPr="00A757E1">
        <w:rPr>
          <w:rFonts w:ascii="Arial" w:eastAsia="Times New Roman" w:hAnsi="Arial"/>
          <w:kern w:val="0"/>
          <w:sz w:val="24"/>
          <w:szCs w:val="20"/>
          <w:lang w:val="en-GB"/>
        </w:rPr>
        <w:tab/>
        <w:t>DU to CU RRC Information</w:t>
      </w:r>
      <w:bookmarkEnd w:id="3"/>
      <w:bookmarkEnd w:id="4"/>
      <w:bookmarkEnd w:id="5"/>
      <w:bookmarkEnd w:id="6"/>
    </w:p>
    <w:p w14:paraId="545E1B33" w14:textId="77777777" w:rsidR="00A757E1" w:rsidRPr="00A757E1" w:rsidRDefault="00A757E1" w:rsidP="00A757E1">
      <w:pPr>
        <w:widowControl/>
        <w:overflowPunct w:val="0"/>
        <w:autoSpaceDE w:val="0"/>
        <w:autoSpaceDN w:val="0"/>
        <w:adjustRightInd w:val="0"/>
        <w:spacing w:after="180"/>
        <w:jc w:val="left"/>
        <w:textAlignment w:val="baseline"/>
        <w:rPr>
          <w:rFonts w:eastAsia="Times New Roman"/>
          <w:kern w:val="0"/>
          <w:szCs w:val="20"/>
          <w:lang w:val="en-GB"/>
        </w:rPr>
      </w:pPr>
      <w:r w:rsidRPr="00A757E1">
        <w:rPr>
          <w:rFonts w:eastAsia="Times New Roman"/>
          <w:kern w:val="0"/>
          <w:szCs w:val="20"/>
          <w:lang w:val="en-GB"/>
        </w:rPr>
        <w:t>This IE contains the RRC Information that are sent from the gNB-DU to the gNB-CU.</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51"/>
        <w:gridCol w:w="567"/>
        <w:gridCol w:w="1134"/>
        <w:gridCol w:w="2976"/>
        <w:gridCol w:w="992"/>
        <w:gridCol w:w="709"/>
      </w:tblGrid>
      <w:tr w:rsidR="00A757E1" w:rsidRPr="00A757E1" w14:paraId="5FE0C9D6" w14:textId="77777777" w:rsidTr="00A757E1">
        <w:tc>
          <w:tcPr>
            <w:tcW w:w="1701" w:type="dxa"/>
          </w:tcPr>
          <w:p w14:paraId="39465649"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cs="Arial"/>
                <w:b/>
                <w:bCs/>
                <w:kern w:val="0"/>
                <w:sz w:val="16"/>
                <w:szCs w:val="18"/>
                <w:lang w:val="en-GB" w:eastAsia="ja-JP"/>
              </w:rPr>
            </w:pPr>
            <w:r w:rsidRPr="00A757E1">
              <w:rPr>
                <w:rFonts w:ascii="Arial" w:eastAsia="Times New Roman" w:hAnsi="Arial" w:cs="Arial"/>
                <w:b/>
                <w:bCs/>
                <w:kern w:val="0"/>
                <w:sz w:val="16"/>
                <w:szCs w:val="18"/>
                <w:lang w:val="en-GB" w:eastAsia="ja-JP"/>
              </w:rPr>
              <w:lastRenderedPageBreak/>
              <w:t>IE/Group Name</w:t>
            </w:r>
          </w:p>
        </w:tc>
        <w:tc>
          <w:tcPr>
            <w:tcW w:w="851" w:type="dxa"/>
          </w:tcPr>
          <w:p w14:paraId="5A68F16E"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cs="Arial"/>
                <w:b/>
                <w:bCs/>
                <w:kern w:val="0"/>
                <w:sz w:val="16"/>
                <w:szCs w:val="18"/>
                <w:lang w:val="en-GB" w:eastAsia="ja-JP"/>
              </w:rPr>
            </w:pPr>
            <w:r w:rsidRPr="00A757E1">
              <w:rPr>
                <w:rFonts w:ascii="Arial" w:eastAsia="Times New Roman" w:hAnsi="Arial" w:cs="Arial"/>
                <w:b/>
                <w:bCs/>
                <w:kern w:val="0"/>
                <w:sz w:val="16"/>
                <w:szCs w:val="18"/>
                <w:lang w:val="en-GB" w:eastAsia="ja-JP"/>
              </w:rPr>
              <w:t>Presence</w:t>
            </w:r>
          </w:p>
        </w:tc>
        <w:tc>
          <w:tcPr>
            <w:tcW w:w="567" w:type="dxa"/>
          </w:tcPr>
          <w:p w14:paraId="0702EAAC"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cs="Arial"/>
                <w:b/>
                <w:bCs/>
                <w:kern w:val="0"/>
                <w:sz w:val="16"/>
                <w:szCs w:val="18"/>
                <w:lang w:val="en-GB" w:eastAsia="ja-JP"/>
              </w:rPr>
            </w:pPr>
            <w:r w:rsidRPr="00A757E1">
              <w:rPr>
                <w:rFonts w:ascii="Arial" w:eastAsia="Times New Roman" w:hAnsi="Arial" w:cs="Arial"/>
                <w:b/>
                <w:bCs/>
                <w:kern w:val="0"/>
                <w:sz w:val="16"/>
                <w:szCs w:val="18"/>
                <w:lang w:val="en-GB" w:eastAsia="ja-JP"/>
              </w:rPr>
              <w:t>Range</w:t>
            </w:r>
          </w:p>
        </w:tc>
        <w:tc>
          <w:tcPr>
            <w:tcW w:w="1134" w:type="dxa"/>
          </w:tcPr>
          <w:p w14:paraId="15F17691"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cs="Arial"/>
                <w:b/>
                <w:bCs/>
                <w:kern w:val="0"/>
                <w:sz w:val="16"/>
                <w:szCs w:val="18"/>
                <w:lang w:val="en-GB" w:eastAsia="ja-JP"/>
              </w:rPr>
            </w:pPr>
            <w:r w:rsidRPr="00A757E1">
              <w:rPr>
                <w:rFonts w:ascii="Arial" w:eastAsia="Times New Roman" w:hAnsi="Arial" w:cs="Arial"/>
                <w:b/>
                <w:bCs/>
                <w:kern w:val="0"/>
                <w:sz w:val="16"/>
                <w:szCs w:val="18"/>
                <w:lang w:val="en-GB" w:eastAsia="ja-JP"/>
              </w:rPr>
              <w:t>IE type and reference</w:t>
            </w:r>
          </w:p>
        </w:tc>
        <w:tc>
          <w:tcPr>
            <w:tcW w:w="2976" w:type="dxa"/>
          </w:tcPr>
          <w:p w14:paraId="6B5E6759"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cs="Arial"/>
                <w:b/>
                <w:bCs/>
                <w:kern w:val="0"/>
                <w:sz w:val="16"/>
                <w:szCs w:val="18"/>
                <w:lang w:val="en-GB" w:eastAsia="ja-JP"/>
              </w:rPr>
            </w:pPr>
            <w:r w:rsidRPr="00A757E1">
              <w:rPr>
                <w:rFonts w:ascii="Arial" w:eastAsia="Times New Roman" w:hAnsi="Arial" w:cs="Arial"/>
                <w:b/>
                <w:bCs/>
                <w:kern w:val="0"/>
                <w:sz w:val="16"/>
                <w:szCs w:val="18"/>
                <w:lang w:val="en-GB" w:eastAsia="ja-JP"/>
              </w:rPr>
              <w:t>Semantics description</w:t>
            </w:r>
          </w:p>
        </w:tc>
        <w:tc>
          <w:tcPr>
            <w:tcW w:w="992" w:type="dxa"/>
          </w:tcPr>
          <w:p w14:paraId="1FAFB6E6"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cs="Arial"/>
                <w:b/>
                <w:bCs/>
                <w:kern w:val="0"/>
                <w:sz w:val="16"/>
                <w:szCs w:val="18"/>
                <w:lang w:val="en-GB" w:eastAsia="ja-JP"/>
              </w:rPr>
            </w:pPr>
            <w:r w:rsidRPr="00A757E1">
              <w:rPr>
                <w:rFonts w:ascii="Arial" w:eastAsia="Times New Roman" w:hAnsi="Arial" w:cs="Arial"/>
                <w:b/>
                <w:bCs/>
                <w:kern w:val="0"/>
                <w:sz w:val="16"/>
                <w:szCs w:val="18"/>
                <w:lang w:val="en-GB" w:eastAsia="ja-JP"/>
              </w:rPr>
              <w:t>Criticality</w:t>
            </w:r>
          </w:p>
        </w:tc>
        <w:tc>
          <w:tcPr>
            <w:tcW w:w="709" w:type="dxa"/>
          </w:tcPr>
          <w:p w14:paraId="330848E2"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cs="Arial"/>
                <w:b/>
                <w:bCs/>
                <w:kern w:val="0"/>
                <w:sz w:val="16"/>
                <w:szCs w:val="18"/>
                <w:lang w:val="en-GB" w:eastAsia="ja-JP"/>
              </w:rPr>
            </w:pPr>
            <w:r w:rsidRPr="00A757E1">
              <w:rPr>
                <w:rFonts w:ascii="Arial" w:eastAsia="Times New Roman" w:hAnsi="Arial" w:cs="Arial"/>
                <w:b/>
                <w:bCs/>
                <w:kern w:val="0"/>
                <w:sz w:val="16"/>
                <w:szCs w:val="18"/>
                <w:lang w:val="en-GB" w:eastAsia="ja-JP"/>
              </w:rPr>
              <w:t>Assigned Criticality</w:t>
            </w:r>
          </w:p>
        </w:tc>
      </w:tr>
      <w:tr w:rsidR="00A757E1" w:rsidRPr="00A757E1" w14:paraId="6E2724A1" w14:textId="77777777" w:rsidTr="00A757E1">
        <w:tc>
          <w:tcPr>
            <w:tcW w:w="1701" w:type="dxa"/>
          </w:tcPr>
          <w:p w14:paraId="4DABF860"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r w:rsidRPr="00A757E1">
              <w:rPr>
                <w:rFonts w:ascii="Arial" w:eastAsia="Times New Roman" w:hAnsi="Arial"/>
                <w:kern w:val="0"/>
                <w:sz w:val="16"/>
                <w:szCs w:val="20"/>
                <w:lang w:val="en-GB"/>
              </w:rPr>
              <w:t>CellGroupConfig</w:t>
            </w:r>
          </w:p>
        </w:tc>
        <w:tc>
          <w:tcPr>
            <w:tcW w:w="851" w:type="dxa"/>
          </w:tcPr>
          <w:p w14:paraId="5964485A"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r w:rsidRPr="00A757E1">
              <w:rPr>
                <w:rFonts w:ascii="Arial" w:eastAsia="Times New Roman" w:hAnsi="Arial"/>
                <w:kern w:val="0"/>
                <w:sz w:val="16"/>
                <w:szCs w:val="20"/>
                <w:lang w:val="en-GB"/>
              </w:rPr>
              <w:t>M</w:t>
            </w:r>
          </w:p>
        </w:tc>
        <w:tc>
          <w:tcPr>
            <w:tcW w:w="567" w:type="dxa"/>
          </w:tcPr>
          <w:p w14:paraId="7738777D"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Pr>
          <w:p w14:paraId="4C4CEB99"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eastAsia="ja-JP"/>
              </w:rPr>
            </w:pPr>
            <w:r w:rsidRPr="00A757E1">
              <w:rPr>
                <w:rFonts w:ascii="Arial" w:eastAsia="Yu Mincho" w:hAnsi="Arial"/>
                <w:kern w:val="0"/>
                <w:sz w:val="16"/>
                <w:szCs w:val="20"/>
                <w:lang w:val="en-GB" w:eastAsia="ja-JP"/>
              </w:rPr>
              <w:t>OCTET STRING</w:t>
            </w:r>
          </w:p>
        </w:tc>
        <w:tc>
          <w:tcPr>
            <w:tcW w:w="2976" w:type="dxa"/>
          </w:tcPr>
          <w:p w14:paraId="3DF729B8"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Malgun Gothic" w:hAnsi="Arial"/>
                <w:kern w:val="0"/>
                <w:sz w:val="16"/>
                <w:szCs w:val="20"/>
                <w:lang w:val="en-GB" w:eastAsia="en-GB"/>
              </w:rPr>
            </w:pPr>
            <w:r w:rsidRPr="00A757E1">
              <w:rPr>
                <w:rFonts w:ascii="Arial" w:eastAsia="Malgun Gothic" w:hAnsi="Arial"/>
                <w:kern w:val="0"/>
                <w:sz w:val="16"/>
                <w:szCs w:val="20"/>
                <w:lang w:val="en-GB" w:eastAsia="en-GB"/>
              </w:rPr>
              <w:t>CellGroupConfig, as defined in TS 38.331 [8].</w:t>
            </w:r>
          </w:p>
        </w:tc>
        <w:tc>
          <w:tcPr>
            <w:tcW w:w="992" w:type="dxa"/>
          </w:tcPr>
          <w:p w14:paraId="4E084937"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Malgun Gothic" w:hAnsi="Arial"/>
                <w:kern w:val="0"/>
                <w:sz w:val="16"/>
                <w:szCs w:val="20"/>
                <w:lang w:val="en-GB" w:eastAsia="en-GB"/>
              </w:rPr>
            </w:pPr>
          </w:p>
        </w:tc>
        <w:tc>
          <w:tcPr>
            <w:tcW w:w="709" w:type="dxa"/>
          </w:tcPr>
          <w:p w14:paraId="2EEDA6DC"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Malgun Gothic" w:hAnsi="Arial"/>
                <w:kern w:val="0"/>
                <w:sz w:val="16"/>
                <w:szCs w:val="20"/>
                <w:lang w:val="en-GB" w:eastAsia="en-GB"/>
              </w:rPr>
            </w:pPr>
          </w:p>
        </w:tc>
      </w:tr>
      <w:tr w:rsidR="00A757E1" w:rsidRPr="00A757E1" w14:paraId="551F1F36" w14:textId="77777777" w:rsidTr="00A757E1">
        <w:tc>
          <w:tcPr>
            <w:tcW w:w="1701" w:type="dxa"/>
          </w:tcPr>
          <w:p w14:paraId="6EB5251A"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MeasGapConfig</w:t>
            </w:r>
          </w:p>
        </w:tc>
        <w:tc>
          <w:tcPr>
            <w:tcW w:w="851" w:type="dxa"/>
          </w:tcPr>
          <w:p w14:paraId="365D56F3"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Pr>
          <w:p w14:paraId="35DD6F89"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Pr>
          <w:p w14:paraId="0B0CAAA6"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Yu Mincho" w:hAnsi="Arial"/>
                <w:kern w:val="0"/>
                <w:sz w:val="16"/>
                <w:szCs w:val="20"/>
                <w:lang w:val="en-GB" w:eastAsia="ja-JP"/>
              </w:rPr>
              <w:t>OCTET STRING</w:t>
            </w:r>
          </w:p>
        </w:tc>
        <w:tc>
          <w:tcPr>
            <w:tcW w:w="2976" w:type="dxa"/>
          </w:tcPr>
          <w:p w14:paraId="7FFB478A"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Malgun Gothic" w:hAnsi="Arial"/>
                <w:kern w:val="0"/>
                <w:sz w:val="16"/>
                <w:szCs w:val="20"/>
                <w:lang w:val="en-GB" w:eastAsia="en-GB"/>
              </w:rPr>
            </w:pPr>
            <w:r w:rsidRPr="00A757E1">
              <w:rPr>
                <w:rFonts w:ascii="Arial" w:eastAsia="Malgun Gothic" w:hAnsi="Arial"/>
                <w:kern w:val="0"/>
                <w:sz w:val="16"/>
                <w:szCs w:val="20"/>
                <w:lang w:val="en-GB" w:eastAsia="en-GB"/>
              </w:rPr>
              <w:t>MeasGapConfig as defined in TS 38.331 [8].</w:t>
            </w:r>
          </w:p>
          <w:p w14:paraId="65F483E6"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Malgun Gothic" w:hAnsi="Arial"/>
                <w:kern w:val="0"/>
                <w:sz w:val="16"/>
                <w:szCs w:val="20"/>
                <w:lang w:val="en-GB" w:eastAsia="en-GB"/>
              </w:rPr>
            </w:pPr>
            <w:r w:rsidRPr="00A757E1">
              <w:rPr>
                <w:rFonts w:ascii="Arial" w:eastAsia="Malgun Gothic" w:hAnsi="Arial"/>
                <w:kern w:val="0"/>
                <w:sz w:val="16"/>
                <w:szCs w:val="20"/>
                <w:lang w:val="en-GB" w:eastAsia="en-GB"/>
              </w:rPr>
              <w:t>For EN-DC</w:t>
            </w:r>
            <w:r w:rsidRPr="00A757E1">
              <w:rPr>
                <w:rFonts w:ascii="Arial" w:eastAsia="Times New Roman" w:hAnsi="Arial"/>
                <w:kern w:val="0"/>
                <w:sz w:val="16"/>
                <w:szCs w:val="18"/>
                <w:lang w:val="en-GB"/>
              </w:rPr>
              <w:t>/NGEN-DC</w:t>
            </w:r>
            <w:r w:rsidRPr="00A757E1">
              <w:rPr>
                <w:rFonts w:ascii="Arial" w:eastAsia="Malgun Gothic" w:hAnsi="Arial"/>
                <w:kern w:val="0"/>
                <w:sz w:val="16"/>
                <w:szCs w:val="20"/>
                <w:lang w:val="en-GB" w:eastAsia="en-GB"/>
              </w:rPr>
              <w:t xml:space="preserve"> operation, includes the gap for FR2, as requested by the gNB-CU via MeasConfig IE. </w:t>
            </w:r>
          </w:p>
          <w:p w14:paraId="7074F7AD"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Malgun Gothic" w:hAnsi="Arial"/>
                <w:kern w:val="0"/>
                <w:sz w:val="16"/>
                <w:szCs w:val="20"/>
                <w:lang w:val="en-GB" w:eastAsia="en-GB"/>
              </w:rPr>
            </w:pPr>
          </w:p>
          <w:p w14:paraId="524EA1FB"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Malgun Gothic" w:hAnsi="Arial"/>
                <w:kern w:val="0"/>
                <w:sz w:val="16"/>
                <w:szCs w:val="20"/>
                <w:lang w:val="en-GB" w:eastAsia="en-GB"/>
              </w:rPr>
            </w:pPr>
            <w:r w:rsidRPr="00A757E1">
              <w:rPr>
                <w:rFonts w:ascii="Arial" w:eastAsia="Malgun Gothic" w:hAnsi="Arial"/>
                <w:kern w:val="0"/>
                <w:sz w:val="16"/>
                <w:szCs w:val="20"/>
                <w:lang w:val="en-GB" w:eastAsia="en-GB"/>
              </w:rPr>
              <w:t xml:space="preserve">For </w:t>
            </w:r>
            <w:r w:rsidRPr="00A757E1">
              <w:rPr>
                <w:rFonts w:ascii="Arial" w:eastAsia="Times New Roman" w:hAnsi="Arial"/>
                <w:kern w:val="0"/>
                <w:sz w:val="16"/>
                <w:szCs w:val="18"/>
                <w:lang w:val="en-GB"/>
              </w:rPr>
              <w:t>NG-RAN,NE-DC and MN for NR-NR DC</w:t>
            </w:r>
            <w:r w:rsidRPr="00A757E1">
              <w:rPr>
                <w:rFonts w:ascii="Arial" w:eastAsia="Malgun Gothic" w:hAnsi="Arial"/>
                <w:kern w:val="0"/>
                <w:sz w:val="16"/>
                <w:szCs w:val="20"/>
                <w:lang w:val="en-GB" w:eastAsia="en-GB"/>
              </w:rPr>
              <w:t>, includes the gap(s) for FR1 and/or FR2, as requested by the gNB-CU via MeasConfig IE and according to the requested gap type (per-UE or per-FR).</w:t>
            </w:r>
          </w:p>
        </w:tc>
        <w:tc>
          <w:tcPr>
            <w:tcW w:w="992" w:type="dxa"/>
          </w:tcPr>
          <w:p w14:paraId="2DA8F705"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Malgun Gothic" w:hAnsi="Arial"/>
                <w:kern w:val="0"/>
                <w:sz w:val="16"/>
                <w:szCs w:val="20"/>
                <w:lang w:val="en-GB" w:eastAsia="en-GB"/>
              </w:rPr>
            </w:pPr>
          </w:p>
        </w:tc>
        <w:tc>
          <w:tcPr>
            <w:tcW w:w="709" w:type="dxa"/>
          </w:tcPr>
          <w:p w14:paraId="461956AE"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Malgun Gothic" w:hAnsi="Arial"/>
                <w:kern w:val="0"/>
                <w:sz w:val="16"/>
                <w:szCs w:val="20"/>
                <w:lang w:val="en-GB" w:eastAsia="en-GB"/>
              </w:rPr>
            </w:pPr>
          </w:p>
        </w:tc>
      </w:tr>
      <w:tr w:rsidR="00A757E1" w:rsidRPr="00A757E1" w14:paraId="25A2AE7C" w14:textId="77777777" w:rsidTr="00A757E1">
        <w:tc>
          <w:tcPr>
            <w:tcW w:w="1701" w:type="dxa"/>
          </w:tcPr>
          <w:p w14:paraId="25FD37D4"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Requested P-MaxFR1</w:t>
            </w:r>
          </w:p>
        </w:tc>
        <w:tc>
          <w:tcPr>
            <w:tcW w:w="851" w:type="dxa"/>
          </w:tcPr>
          <w:p w14:paraId="7E53985A"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Pr>
          <w:p w14:paraId="6808BAD1"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Pr>
          <w:p w14:paraId="31F3C329"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Yu Mincho" w:hAnsi="Arial"/>
                <w:kern w:val="0"/>
                <w:sz w:val="16"/>
                <w:szCs w:val="20"/>
                <w:lang w:val="en-GB" w:eastAsia="ja-JP"/>
              </w:rPr>
              <w:t>OCTET STRING</w:t>
            </w:r>
          </w:p>
        </w:tc>
        <w:tc>
          <w:tcPr>
            <w:tcW w:w="2976" w:type="dxa"/>
          </w:tcPr>
          <w:p w14:paraId="6F92D090"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Malgun Gothic" w:hAnsi="Arial"/>
                <w:kern w:val="0"/>
                <w:sz w:val="16"/>
                <w:szCs w:val="20"/>
                <w:lang w:val="en-GB" w:eastAsia="en-GB"/>
              </w:rPr>
            </w:pPr>
            <w:r w:rsidRPr="00A757E1">
              <w:rPr>
                <w:rFonts w:ascii="Arial" w:eastAsia="Malgun Gothic" w:hAnsi="Arial"/>
                <w:kern w:val="0"/>
                <w:sz w:val="16"/>
                <w:szCs w:val="20"/>
                <w:lang w:val="en-GB" w:eastAsia="en-GB"/>
              </w:rPr>
              <w:t xml:space="preserve">requestedP-MaxFR1, as defined in TS 38.331 [8]. </w:t>
            </w:r>
          </w:p>
          <w:p w14:paraId="6E5807E4"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Malgun Gothic" w:hAnsi="Arial"/>
                <w:kern w:val="0"/>
                <w:sz w:val="16"/>
                <w:szCs w:val="20"/>
                <w:lang w:val="en-GB" w:eastAsia="en-GB"/>
              </w:rPr>
            </w:pPr>
            <w:r w:rsidRPr="00A757E1">
              <w:rPr>
                <w:rFonts w:ascii="Arial" w:eastAsia="Malgun Gothic" w:hAnsi="Arial"/>
                <w:kern w:val="0"/>
                <w:sz w:val="16"/>
                <w:szCs w:val="20"/>
                <w:lang w:val="en-GB" w:eastAsia="en-GB"/>
              </w:rPr>
              <w:t>For EN-DC,  NGEN-DC and NR-DC operation, this IE should be included.</w:t>
            </w:r>
          </w:p>
        </w:tc>
        <w:tc>
          <w:tcPr>
            <w:tcW w:w="992" w:type="dxa"/>
          </w:tcPr>
          <w:p w14:paraId="42339F1A"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Malgun Gothic" w:hAnsi="Arial"/>
                <w:kern w:val="0"/>
                <w:sz w:val="16"/>
                <w:szCs w:val="20"/>
                <w:lang w:val="en-GB" w:eastAsia="en-GB"/>
              </w:rPr>
            </w:pPr>
          </w:p>
        </w:tc>
        <w:tc>
          <w:tcPr>
            <w:tcW w:w="709" w:type="dxa"/>
          </w:tcPr>
          <w:p w14:paraId="516B8A3A"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Malgun Gothic" w:hAnsi="Arial"/>
                <w:kern w:val="0"/>
                <w:sz w:val="16"/>
                <w:szCs w:val="20"/>
                <w:lang w:val="en-GB" w:eastAsia="en-GB"/>
              </w:rPr>
            </w:pPr>
          </w:p>
        </w:tc>
      </w:tr>
      <w:tr w:rsidR="00A757E1" w:rsidRPr="00A757E1" w14:paraId="0A2B60BE" w14:textId="77777777" w:rsidTr="00A757E1">
        <w:tc>
          <w:tcPr>
            <w:tcW w:w="1701" w:type="dxa"/>
          </w:tcPr>
          <w:p w14:paraId="6D0C9599"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DRX Long Cycle Start Offset</w:t>
            </w:r>
          </w:p>
        </w:tc>
        <w:tc>
          <w:tcPr>
            <w:tcW w:w="851" w:type="dxa"/>
          </w:tcPr>
          <w:p w14:paraId="16D40486"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Pr>
          <w:p w14:paraId="5EBE388F"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Pr>
          <w:p w14:paraId="428CA269"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Yu Mincho" w:hAnsi="Arial"/>
                <w:kern w:val="0"/>
                <w:sz w:val="16"/>
                <w:szCs w:val="20"/>
                <w:lang w:val="en-GB" w:eastAsia="ja-JP"/>
              </w:rPr>
              <w:t>INTEGER</w:t>
            </w:r>
            <w:r w:rsidRPr="00A757E1">
              <w:rPr>
                <w:rFonts w:ascii="Arial" w:eastAsia="Times New Roman" w:hAnsi="Arial"/>
                <w:kern w:val="0"/>
                <w:sz w:val="16"/>
                <w:szCs w:val="20"/>
                <w:lang w:val="en-GB"/>
              </w:rPr>
              <w:t xml:space="preserve"> </w:t>
            </w:r>
            <w:r w:rsidRPr="00A757E1">
              <w:rPr>
                <w:rFonts w:ascii="Arial" w:eastAsia="Yu Mincho" w:hAnsi="Arial"/>
                <w:kern w:val="0"/>
                <w:sz w:val="16"/>
                <w:szCs w:val="20"/>
                <w:lang w:val="en-GB" w:eastAsia="ja-JP"/>
              </w:rPr>
              <w:t>(0..10239)</w:t>
            </w:r>
          </w:p>
        </w:tc>
        <w:tc>
          <w:tcPr>
            <w:tcW w:w="2976" w:type="dxa"/>
          </w:tcPr>
          <w:p w14:paraId="283F7588"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rPr>
            </w:pPr>
            <w:r w:rsidRPr="00A757E1">
              <w:rPr>
                <w:rFonts w:ascii="Arial" w:eastAsia="Times New Roman" w:hAnsi="Arial"/>
                <w:kern w:val="0"/>
                <w:sz w:val="16"/>
                <w:szCs w:val="20"/>
                <w:lang w:val="en-GB"/>
              </w:rPr>
              <w:t>Identical to the value of the drx-LongCycleStartOffset IE within the DRX-Config as defined in TS 38.331 [8].</w:t>
            </w:r>
          </w:p>
          <w:p w14:paraId="258C9EA7"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rPr>
              <w:t>This field is not used in NR-DC.</w:t>
            </w:r>
          </w:p>
        </w:tc>
        <w:tc>
          <w:tcPr>
            <w:tcW w:w="992" w:type="dxa"/>
          </w:tcPr>
          <w:p w14:paraId="1EAF21A5"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p>
        </w:tc>
        <w:tc>
          <w:tcPr>
            <w:tcW w:w="709" w:type="dxa"/>
          </w:tcPr>
          <w:p w14:paraId="3FAA7A87"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p>
        </w:tc>
      </w:tr>
      <w:tr w:rsidR="00A757E1" w:rsidRPr="00A757E1" w14:paraId="5534420B" w14:textId="77777777" w:rsidTr="00A757E1">
        <w:tc>
          <w:tcPr>
            <w:tcW w:w="1701" w:type="dxa"/>
          </w:tcPr>
          <w:p w14:paraId="3D2B0861"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highlight w:val="yellow"/>
                <w:lang w:val="en-GB"/>
              </w:rPr>
              <w:t>Selected BandCombinationIndex</w:t>
            </w:r>
          </w:p>
        </w:tc>
        <w:tc>
          <w:tcPr>
            <w:tcW w:w="851" w:type="dxa"/>
          </w:tcPr>
          <w:p w14:paraId="36ED4349"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Pr>
          <w:p w14:paraId="473B1D63"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Pr>
          <w:p w14:paraId="41E33EF3"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Yu Mincho" w:hAnsi="Arial"/>
                <w:kern w:val="0"/>
                <w:sz w:val="16"/>
                <w:szCs w:val="20"/>
                <w:lang w:val="en-GB" w:eastAsia="ja-JP"/>
              </w:rPr>
              <w:t>OCTET STRING</w:t>
            </w:r>
          </w:p>
        </w:tc>
        <w:tc>
          <w:tcPr>
            <w:tcW w:w="2976" w:type="dxa"/>
          </w:tcPr>
          <w:p w14:paraId="45F2BDE7"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Malgun Gothic" w:hAnsi="Arial"/>
                <w:kern w:val="0"/>
                <w:sz w:val="16"/>
                <w:szCs w:val="20"/>
                <w:highlight w:val="yellow"/>
                <w:lang w:val="en-GB" w:eastAsia="en-GB"/>
              </w:rPr>
            </w:pPr>
            <w:r w:rsidRPr="00A757E1">
              <w:rPr>
                <w:rFonts w:ascii="Arial" w:eastAsia="Malgun Gothic" w:hAnsi="Arial"/>
                <w:kern w:val="0"/>
                <w:sz w:val="16"/>
                <w:szCs w:val="20"/>
                <w:highlight w:val="yellow"/>
                <w:lang w:val="en-GB" w:eastAsia="en-GB"/>
              </w:rPr>
              <w:t xml:space="preserve">BandCombinationIndex, as defined in TS 38.331 [8]. </w:t>
            </w:r>
          </w:p>
          <w:p w14:paraId="0C6C27A7"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Malgun Gothic" w:hAnsi="Arial"/>
                <w:kern w:val="0"/>
                <w:sz w:val="16"/>
                <w:szCs w:val="20"/>
                <w:highlight w:val="yellow"/>
                <w:lang w:val="en-GB" w:eastAsia="en-GB"/>
              </w:rPr>
              <w:t>For (NG)EN-DC and NR DC operation, this IE should be included so that gNB-CU is informed of the selected Band Combination.</w:t>
            </w:r>
          </w:p>
        </w:tc>
        <w:tc>
          <w:tcPr>
            <w:tcW w:w="992" w:type="dxa"/>
          </w:tcPr>
          <w:p w14:paraId="2C39F841"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Malgun Gothic" w:hAnsi="Arial"/>
                <w:kern w:val="0"/>
                <w:sz w:val="16"/>
                <w:szCs w:val="20"/>
                <w:lang w:val="en-GB" w:eastAsia="en-GB"/>
              </w:rPr>
              <w:t>YES</w:t>
            </w:r>
          </w:p>
        </w:tc>
        <w:tc>
          <w:tcPr>
            <w:tcW w:w="709" w:type="dxa"/>
          </w:tcPr>
          <w:p w14:paraId="46F58D23"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Malgun Gothic" w:hAnsi="Arial"/>
                <w:kern w:val="0"/>
                <w:sz w:val="16"/>
                <w:szCs w:val="20"/>
                <w:lang w:val="en-GB" w:eastAsia="en-GB"/>
              </w:rPr>
              <w:t>ignore</w:t>
            </w:r>
          </w:p>
        </w:tc>
      </w:tr>
      <w:tr w:rsidR="00A757E1" w:rsidRPr="00A757E1" w14:paraId="23F62C11" w14:textId="77777777" w:rsidTr="00A757E1">
        <w:tc>
          <w:tcPr>
            <w:tcW w:w="1701" w:type="dxa"/>
          </w:tcPr>
          <w:p w14:paraId="50D68107"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Selected FeatureSetEntryIndex</w:t>
            </w:r>
          </w:p>
        </w:tc>
        <w:tc>
          <w:tcPr>
            <w:tcW w:w="851" w:type="dxa"/>
          </w:tcPr>
          <w:p w14:paraId="5020CC00"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Pr>
          <w:p w14:paraId="153EE967"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Pr>
          <w:p w14:paraId="298CE03F"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Yu Mincho" w:hAnsi="Arial"/>
                <w:kern w:val="0"/>
                <w:sz w:val="16"/>
                <w:szCs w:val="20"/>
                <w:lang w:val="en-GB" w:eastAsia="ja-JP"/>
              </w:rPr>
              <w:t>OCTET STRING</w:t>
            </w:r>
          </w:p>
        </w:tc>
        <w:tc>
          <w:tcPr>
            <w:tcW w:w="2976" w:type="dxa"/>
          </w:tcPr>
          <w:p w14:paraId="1C83A3D6"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Malgun Gothic" w:hAnsi="Arial"/>
                <w:kern w:val="0"/>
                <w:sz w:val="16"/>
                <w:szCs w:val="20"/>
                <w:lang w:val="en-GB" w:eastAsia="en-GB"/>
              </w:rPr>
            </w:pPr>
            <w:r w:rsidRPr="00A757E1">
              <w:rPr>
                <w:rFonts w:ascii="Arial" w:eastAsia="Malgun Gothic" w:hAnsi="Arial"/>
                <w:kern w:val="0"/>
                <w:sz w:val="16"/>
                <w:szCs w:val="20"/>
                <w:lang w:val="en-GB" w:eastAsia="en-GB"/>
              </w:rPr>
              <w:t xml:space="preserve">FeatureSetEntryIndex, as defined in TS 38.331 [8]. </w:t>
            </w:r>
          </w:p>
          <w:p w14:paraId="0130FF25"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Malgun Gothic" w:hAnsi="Arial"/>
                <w:kern w:val="0"/>
                <w:sz w:val="16"/>
                <w:szCs w:val="20"/>
                <w:lang w:val="en-GB" w:eastAsia="en-GB"/>
              </w:rPr>
              <w:t>For (NG)EN-DC and NR DC operation, this IE should be included so that gNB-CU is informed of the selected FeatureSet.</w:t>
            </w:r>
          </w:p>
        </w:tc>
        <w:tc>
          <w:tcPr>
            <w:tcW w:w="992" w:type="dxa"/>
          </w:tcPr>
          <w:p w14:paraId="4FB8DCF9"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Malgun Gothic" w:hAnsi="Arial"/>
                <w:kern w:val="0"/>
                <w:sz w:val="16"/>
                <w:szCs w:val="20"/>
                <w:lang w:val="en-GB" w:eastAsia="en-GB"/>
              </w:rPr>
              <w:t>YES</w:t>
            </w:r>
          </w:p>
        </w:tc>
        <w:tc>
          <w:tcPr>
            <w:tcW w:w="709" w:type="dxa"/>
          </w:tcPr>
          <w:p w14:paraId="02020E95"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Malgun Gothic" w:hAnsi="Arial"/>
                <w:kern w:val="0"/>
                <w:sz w:val="16"/>
                <w:szCs w:val="20"/>
                <w:lang w:val="en-GB" w:eastAsia="en-GB"/>
              </w:rPr>
              <w:t>ignore</w:t>
            </w:r>
          </w:p>
        </w:tc>
      </w:tr>
      <w:tr w:rsidR="00A757E1" w:rsidRPr="00A757E1" w14:paraId="3FE92982" w14:textId="77777777" w:rsidTr="00A757E1">
        <w:tc>
          <w:tcPr>
            <w:tcW w:w="1701" w:type="dxa"/>
          </w:tcPr>
          <w:p w14:paraId="36055C06"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P</w:t>
            </w:r>
            <w:r w:rsidRPr="00A757E1">
              <w:rPr>
                <w:rFonts w:ascii="Arial" w:eastAsia="Times New Roman" w:hAnsi="Arial"/>
                <w:kern w:val="0"/>
                <w:sz w:val="16"/>
                <w:szCs w:val="20"/>
                <w:lang w:val="en-GB" w:eastAsia="en-GB"/>
              </w:rPr>
              <w:t>h-InfoSCG</w:t>
            </w:r>
          </w:p>
        </w:tc>
        <w:tc>
          <w:tcPr>
            <w:tcW w:w="851" w:type="dxa"/>
          </w:tcPr>
          <w:p w14:paraId="06A8267A"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Pr>
          <w:p w14:paraId="7BD8D70E"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Pr>
          <w:p w14:paraId="48BF31E4"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Yu Mincho" w:hAnsi="Arial"/>
                <w:kern w:val="0"/>
                <w:sz w:val="16"/>
                <w:szCs w:val="20"/>
                <w:lang w:val="en-GB" w:eastAsia="ja-JP"/>
              </w:rPr>
              <w:t>OCTET STRING</w:t>
            </w:r>
          </w:p>
        </w:tc>
        <w:tc>
          <w:tcPr>
            <w:tcW w:w="2976" w:type="dxa"/>
          </w:tcPr>
          <w:p w14:paraId="69E9D0C4"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宋体" w:hAnsi="Arial"/>
                <w:kern w:val="0"/>
                <w:sz w:val="16"/>
                <w:szCs w:val="20"/>
                <w:lang w:val="en-GB"/>
              </w:rPr>
            </w:pPr>
            <w:r w:rsidRPr="00A757E1">
              <w:rPr>
                <w:rFonts w:ascii="Arial" w:eastAsia="Times New Roman" w:hAnsi="Arial"/>
                <w:kern w:val="0"/>
                <w:sz w:val="16"/>
                <w:szCs w:val="20"/>
                <w:lang w:val="en-GB" w:eastAsia="en-GB"/>
              </w:rPr>
              <w:t>PH-TypeListSCG</w:t>
            </w:r>
            <w:r w:rsidRPr="00A757E1">
              <w:rPr>
                <w:rFonts w:ascii="Arial" w:eastAsia="Times New Roman" w:hAnsi="Arial"/>
                <w:kern w:val="0"/>
                <w:sz w:val="16"/>
                <w:szCs w:val="20"/>
                <w:lang w:val="en-GB"/>
              </w:rPr>
              <w:t xml:space="preserve">, as defined in TS 38.331 [8].For MR-DC, this IE should be included so that </w:t>
            </w:r>
            <w:r w:rsidRPr="00A757E1">
              <w:rPr>
                <w:rFonts w:ascii="Arial" w:eastAsia="Malgun Gothic" w:hAnsi="Arial"/>
                <w:kern w:val="0"/>
                <w:sz w:val="16"/>
                <w:szCs w:val="20"/>
                <w:lang w:val="en-GB" w:eastAsia="en-GB"/>
              </w:rPr>
              <w:t>gNB-CU is informed of the</w:t>
            </w:r>
            <w:r w:rsidRPr="00A757E1">
              <w:rPr>
                <w:rFonts w:ascii="Arial" w:eastAsia="Times New Roman" w:hAnsi="Arial"/>
                <w:kern w:val="0"/>
                <w:sz w:val="16"/>
                <w:szCs w:val="20"/>
                <w:lang w:val="en-GB"/>
              </w:rPr>
              <w:t xml:space="preserve"> Power Headroom type for each serving cell in SN.</w:t>
            </w:r>
          </w:p>
        </w:tc>
        <w:tc>
          <w:tcPr>
            <w:tcW w:w="992" w:type="dxa"/>
          </w:tcPr>
          <w:p w14:paraId="49FAE058"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Yes</w:t>
            </w:r>
          </w:p>
        </w:tc>
        <w:tc>
          <w:tcPr>
            <w:tcW w:w="709" w:type="dxa"/>
          </w:tcPr>
          <w:p w14:paraId="387D7473"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Malgun Gothic" w:hAnsi="Arial"/>
                <w:kern w:val="0"/>
                <w:sz w:val="16"/>
                <w:szCs w:val="20"/>
                <w:lang w:val="en-GB" w:eastAsia="en-US"/>
              </w:rPr>
            </w:pPr>
            <w:r w:rsidRPr="00A757E1">
              <w:rPr>
                <w:rFonts w:ascii="Arial" w:eastAsia="Times New Roman" w:hAnsi="Arial"/>
                <w:kern w:val="0"/>
                <w:sz w:val="16"/>
                <w:szCs w:val="20"/>
                <w:lang w:val="en-GB"/>
              </w:rPr>
              <w:t>ignore</w:t>
            </w:r>
          </w:p>
        </w:tc>
      </w:tr>
      <w:tr w:rsidR="00A757E1" w:rsidRPr="00A757E1" w14:paraId="2151BBA9" w14:textId="77777777" w:rsidTr="00A757E1">
        <w:tc>
          <w:tcPr>
            <w:tcW w:w="1701" w:type="dxa"/>
            <w:tcBorders>
              <w:top w:val="single" w:sz="4" w:space="0" w:color="auto"/>
              <w:left w:val="single" w:sz="4" w:space="0" w:color="auto"/>
              <w:bottom w:val="single" w:sz="4" w:space="0" w:color="auto"/>
              <w:right w:val="single" w:sz="4" w:space="0" w:color="auto"/>
            </w:tcBorders>
          </w:tcPr>
          <w:p w14:paraId="6EEA2FDF"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Requested BandCombinationIndex</w:t>
            </w:r>
          </w:p>
        </w:tc>
        <w:tc>
          <w:tcPr>
            <w:tcW w:w="851" w:type="dxa"/>
            <w:tcBorders>
              <w:top w:val="single" w:sz="4" w:space="0" w:color="auto"/>
              <w:left w:val="single" w:sz="4" w:space="0" w:color="auto"/>
              <w:bottom w:val="single" w:sz="4" w:space="0" w:color="auto"/>
              <w:right w:val="single" w:sz="4" w:space="0" w:color="auto"/>
            </w:tcBorders>
          </w:tcPr>
          <w:p w14:paraId="293B8170"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Borders>
              <w:top w:val="single" w:sz="4" w:space="0" w:color="auto"/>
              <w:left w:val="single" w:sz="4" w:space="0" w:color="auto"/>
              <w:bottom w:val="single" w:sz="4" w:space="0" w:color="auto"/>
              <w:right w:val="single" w:sz="4" w:space="0" w:color="auto"/>
            </w:tcBorders>
          </w:tcPr>
          <w:p w14:paraId="6AE1703D"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659BCA18"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Yu Mincho" w:hAnsi="Arial"/>
                <w:kern w:val="0"/>
                <w:sz w:val="16"/>
                <w:szCs w:val="20"/>
                <w:lang w:val="en-GB" w:eastAsia="ja-JP"/>
              </w:rPr>
              <w:t>OCTET STRING</w:t>
            </w:r>
          </w:p>
        </w:tc>
        <w:tc>
          <w:tcPr>
            <w:tcW w:w="2976" w:type="dxa"/>
            <w:tcBorders>
              <w:top w:val="single" w:sz="4" w:space="0" w:color="auto"/>
              <w:left w:val="single" w:sz="4" w:space="0" w:color="auto"/>
              <w:bottom w:val="single" w:sz="4" w:space="0" w:color="auto"/>
              <w:right w:val="single" w:sz="4" w:space="0" w:color="auto"/>
            </w:tcBorders>
          </w:tcPr>
          <w:p w14:paraId="24A4F754"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eastAsia="en-GB"/>
              </w:rPr>
            </w:pPr>
            <w:r w:rsidRPr="00A757E1">
              <w:rPr>
                <w:rFonts w:ascii="Arial" w:eastAsia="Times New Roman" w:hAnsi="Arial"/>
                <w:kern w:val="0"/>
                <w:sz w:val="16"/>
                <w:szCs w:val="20"/>
                <w:lang w:val="en-GB" w:eastAsia="en-GB"/>
              </w:rPr>
              <w:t xml:space="preserve">BandCombinationIndex, as defined in TS 38.331 [8]. </w:t>
            </w:r>
          </w:p>
          <w:p w14:paraId="67B1079D"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eastAsia="en-GB"/>
              </w:rPr>
            </w:pPr>
            <w:r w:rsidRPr="00A757E1">
              <w:rPr>
                <w:rFonts w:ascii="Arial" w:eastAsia="Times New Roman" w:hAnsi="Arial"/>
                <w:kern w:val="0"/>
                <w:sz w:val="16"/>
                <w:szCs w:val="20"/>
                <w:lang w:val="en-GB" w:eastAsia="en-GB"/>
              </w:rPr>
              <w:t>This IE is used for the gNB-DU to request a new Band Combination.</w:t>
            </w:r>
          </w:p>
        </w:tc>
        <w:tc>
          <w:tcPr>
            <w:tcW w:w="992" w:type="dxa"/>
            <w:tcBorders>
              <w:top w:val="single" w:sz="4" w:space="0" w:color="auto"/>
              <w:left w:val="single" w:sz="4" w:space="0" w:color="auto"/>
              <w:bottom w:val="single" w:sz="4" w:space="0" w:color="auto"/>
              <w:right w:val="single" w:sz="4" w:space="0" w:color="auto"/>
            </w:tcBorders>
          </w:tcPr>
          <w:p w14:paraId="0D7DF16C"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YES</w:t>
            </w:r>
          </w:p>
        </w:tc>
        <w:tc>
          <w:tcPr>
            <w:tcW w:w="709" w:type="dxa"/>
            <w:tcBorders>
              <w:top w:val="single" w:sz="4" w:space="0" w:color="auto"/>
              <w:left w:val="single" w:sz="4" w:space="0" w:color="auto"/>
              <w:bottom w:val="single" w:sz="4" w:space="0" w:color="auto"/>
              <w:right w:val="single" w:sz="4" w:space="0" w:color="auto"/>
            </w:tcBorders>
          </w:tcPr>
          <w:p w14:paraId="33A3787A"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ignore</w:t>
            </w:r>
          </w:p>
        </w:tc>
      </w:tr>
      <w:tr w:rsidR="00A757E1" w:rsidRPr="00A757E1" w14:paraId="102AB3C7" w14:textId="77777777" w:rsidTr="00A757E1">
        <w:tc>
          <w:tcPr>
            <w:tcW w:w="1701" w:type="dxa"/>
            <w:tcBorders>
              <w:top w:val="single" w:sz="4" w:space="0" w:color="auto"/>
              <w:left w:val="single" w:sz="4" w:space="0" w:color="auto"/>
              <w:bottom w:val="single" w:sz="4" w:space="0" w:color="auto"/>
              <w:right w:val="single" w:sz="4" w:space="0" w:color="auto"/>
            </w:tcBorders>
          </w:tcPr>
          <w:p w14:paraId="579905FB"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Requested FeatureSetEntryIndex</w:t>
            </w:r>
          </w:p>
        </w:tc>
        <w:tc>
          <w:tcPr>
            <w:tcW w:w="851" w:type="dxa"/>
            <w:tcBorders>
              <w:top w:val="single" w:sz="4" w:space="0" w:color="auto"/>
              <w:left w:val="single" w:sz="4" w:space="0" w:color="auto"/>
              <w:bottom w:val="single" w:sz="4" w:space="0" w:color="auto"/>
              <w:right w:val="single" w:sz="4" w:space="0" w:color="auto"/>
            </w:tcBorders>
          </w:tcPr>
          <w:p w14:paraId="248741E1"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Borders>
              <w:top w:val="single" w:sz="4" w:space="0" w:color="auto"/>
              <w:left w:val="single" w:sz="4" w:space="0" w:color="auto"/>
              <w:bottom w:val="single" w:sz="4" w:space="0" w:color="auto"/>
              <w:right w:val="single" w:sz="4" w:space="0" w:color="auto"/>
            </w:tcBorders>
          </w:tcPr>
          <w:p w14:paraId="73F72A74"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6C249C8C"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Yu Mincho" w:hAnsi="Arial"/>
                <w:kern w:val="0"/>
                <w:sz w:val="16"/>
                <w:szCs w:val="20"/>
                <w:lang w:val="en-GB" w:eastAsia="ja-JP"/>
              </w:rPr>
              <w:t>OCTET STRING</w:t>
            </w:r>
          </w:p>
        </w:tc>
        <w:tc>
          <w:tcPr>
            <w:tcW w:w="2976" w:type="dxa"/>
            <w:tcBorders>
              <w:top w:val="single" w:sz="4" w:space="0" w:color="auto"/>
              <w:left w:val="single" w:sz="4" w:space="0" w:color="auto"/>
              <w:bottom w:val="single" w:sz="4" w:space="0" w:color="auto"/>
              <w:right w:val="single" w:sz="4" w:space="0" w:color="auto"/>
            </w:tcBorders>
          </w:tcPr>
          <w:p w14:paraId="5396A32A"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eastAsia="en-GB"/>
              </w:rPr>
            </w:pPr>
            <w:r w:rsidRPr="00A757E1">
              <w:rPr>
                <w:rFonts w:ascii="Arial" w:eastAsia="Times New Roman" w:hAnsi="Arial"/>
                <w:kern w:val="0"/>
                <w:sz w:val="16"/>
                <w:szCs w:val="20"/>
                <w:lang w:val="en-GB" w:eastAsia="en-GB"/>
              </w:rPr>
              <w:t xml:space="preserve">FeatureSetEntryIndex, as defined in TS 38.331 [8]. </w:t>
            </w:r>
          </w:p>
          <w:p w14:paraId="54FE6949"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eastAsia="en-GB"/>
              </w:rPr>
            </w:pPr>
            <w:r w:rsidRPr="00A757E1">
              <w:rPr>
                <w:rFonts w:ascii="Arial" w:eastAsia="Times New Roman" w:hAnsi="Arial"/>
                <w:kern w:val="0"/>
                <w:sz w:val="16"/>
                <w:szCs w:val="20"/>
                <w:lang w:val="en-GB" w:eastAsia="en-GB"/>
              </w:rPr>
              <w:t>This IE is used for the gNB-DU to request a new Feature Set.</w:t>
            </w:r>
          </w:p>
        </w:tc>
        <w:tc>
          <w:tcPr>
            <w:tcW w:w="992" w:type="dxa"/>
            <w:tcBorders>
              <w:top w:val="single" w:sz="4" w:space="0" w:color="auto"/>
              <w:left w:val="single" w:sz="4" w:space="0" w:color="auto"/>
              <w:bottom w:val="single" w:sz="4" w:space="0" w:color="auto"/>
              <w:right w:val="single" w:sz="4" w:space="0" w:color="auto"/>
            </w:tcBorders>
          </w:tcPr>
          <w:p w14:paraId="3F19E5FE"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YES</w:t>
            </w:r>
          </w:p>
        </w:tc>
        <w:tc>
          <w:tcPr>
            <w:tcW w:w="709" w:type="dxa"/>
            <w:tcBorders>
              <w:top w:val="single" w:sz="4" w:space="0" w:color="auto"/>
              <w:left w:val="single" w:sz="4" w:space="0" w:color="auto"/>
              <w:bottom w:val="single" w:sz="4" w:space="0" w:color="auto"/>
              <w:right w:val="single" w:sz="4" w:space="0" w:color="auto"/>
            </w:tcBorders>
          </w:tcPr>
          <w:p w14:paraId="5F991E42"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ignore</w:t>
            </w:r>
          </w:p>
        </w:tc>
      </w:tr>
      <w:tr w:rsidR="00A757E1" w:rsidRPr="00A757E1" w14:paraId="2D229AEF" w14:textId="77777777" w:rsidTr="00A757E1">
        <w:tc>
          <w:tcPr>
            <w:tcW w:w="1701" w:type="dxa"/>
            <w:tcBorders>
              <w:top w:val="single" w:sz="4" w:space="0" w:color="auto"/>
              <w:left w:val="single" w:sz="4" w:space="0" w:color="auto"/>
              <w:bottom w:val="single" w:sz="4" w:space="0" w:color="auto"/>
              <w:right w:val="single" w:sz="4" w:space="0" w:color="auto"/>
            </w:tcBorders>
          </w:tcPr>
          <w:p w14:paraId="513F9F0D" w14:textId="77777777" w:rsidR="00A757E1" w:rsidRPr="00A757E1" w:rsidDel="002750A9"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DRX Config</w:t>
            </w:r>
          </w:p>
        </w:tc>
        <w:tc>
          <w:tcPr>
            <w:tcW w:w="851" w:type="dxa"/>
            <w:tcBorders>
              <w:top w:val="single" w:sz="4" w:space="0" w:color="auto"/>
              <w:left w:val="single" w:sz="4" w:space="0" w:color="auto"/>
              <w:bottom w:val="single" w:sz="4" w:space="0" w:color="auto"/>
              <w:right w:val="single" w:sz="4" w:space="0" w:color="auto"/>
            </w:tcBorders>
          </w:tcPr>
          <w:p w14:paraId="10C593B0"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Borders>
              <w:top w:val="single" w:sz="4" w:space="0" w:color="auto"/>
              <w:left w:val="single" w:sz="4" w:space="0" w:color="auto"/>
              <w:bottom w:val="single" w:sz="4" w:space="0" w:color="auto"/>
              <w:right w:val="single" w:sz="4" w:space="0" w:color="auto"/>
            </w:tcBorders>
          </w:tcPr>
          <w:p w14:paraId="06BF71E0"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798054EB"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Yu Mincho" w:hAnsi="Arial"/>
                <w:kern w:val="0"/>
                <w:sz w:val="16"/>
                <w:szCs w:val="20"/>
                <w:lang w:val="en-GB" w:eastAsia="ja-JP"/>
              </w:rPr>
              <w:t>OCTET STRING</w:t>
            </w:r>
          </w:p>
        </w:tc>
        <w:tc>
          <w:tcPr>
            <w:tcW w:w="2976" w:type="dxa"/>
            <w:tcBorders>
              <w:top w:val="single" w:sz="4" w:space="0" w:color="auto"/>
              <w:left w:val="single" w:sz="4" w:space="0" w:color="auto"/>
              <w:bottom w:val="single" w:sz="4" w:space="0" w:color="auto"/>
              <w:right w:val="single" w:sz="4" w:space="0" w:color="auto"/>
            </w:tcBorders>
          </w:tcPr>
          <w:p w14:paraId="4B46C490"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eastAsia="en-GB"/>
              </w:rPr>
            </w:pPr>
            <w:r w:rsidRPr="00A757E1">
              <w:rPr>
                <w:rFonts w:ascii="Arial" w:eastAsia="Times New Roman" w:hAnsi="Arial"/>
                <w:kern w:val="0"/>
                <w:sz w:val="16"/>
                <w:szCs w:val="20"/>
                <w:lang w:val="en-GB" w:eastAsia="en-GB"/>
              </w:rPr>
              <w:t>DRX-Config, as defined in TS 38.331 [8].</w:t>
            </w:r>
          </w:p>
          <w:p w14:paraId="74EFB8A1"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eastAsia="en-GB"/>
              </w:rPr>
            </w:pPr>
            <w:r w:rsidRPr="00A757E1">
              <w:rPr>
                <w:rFonts w:ascii="Arial" w:eastAsia="Times New Roman" w:hAnsi="Arial"/>
                <w:kern w:val="0"/>
                <w:sz w:val="16"/>
                <w:szCs w:val="20"/>
                <w:lang w:val="en-GB" w:eastAsia="en-GB"/>
              </w:rPr>
              <w:t>This field is only used in NR-DC.</w:t>
            </w:r>
          </w:p>
        </w:tc>
        <w:tc>
          <w:tcPr>
            <w:tcW w:w="992" w:type="dxa"/>
            <w:tcBorders>
              <w:top w:val="single" w:sz="4" w:space="0" w:color="auto"/>
              <w:left w:val="single" w:sz="4" w:space="0" w:color="auto"/>
              <w:bottom w:val="single" w:sz="4" w:space="0" w:color="auto"/>
              <w:right w:val="single" w:sz="4" w:space="0" w:color="auto"/>
            </w:tcBorders>
          </w:tcPr>
          <w:p w14:paraId="2B8ADD0B"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YES</w:t>
            </w:r>
          </w:p>
        </w:tc>
        <w:tc>
          <w:tcPr>
            <w:tcW w:w="709" w:type="dxa"/>
            <w:tcBorders>
              <w:top w:val="single" w:sz="4" w:space="0" w:color="auto"/>
              <w:left w:val="single" w:sz="4" w:space="0" w:color="auto"/>
              <w:bottom w:val="single" w:sz="4" w:space="0" w:color="auto"/>
              <w:right w:val="single" w:sz="4" w:space="0" w:color="auto"/>
            </w:tcBorders>
          </w:tcPr>
          <w:p w14:paraId="094EBFD9"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ignore</w:t>
            </w:r>
          </w:p>
        </w:tc>
      </w:tr>
      <w:tr w:rsidR="00A757E1" w:rsidRPr="00A757E1" w14:paraId="197F9C32" w14:textId="77777777" w:rsidTr="00A757E1">
        <w:tc>
          <w:tcPr>
            <w:tcW w:w="1701" w:type="dxa"/>
            <w:tcBorders>
              <w:top w:val="single" w:sz="4" w:space="0" w:color="auto"/>
              <w:left w:val="single" w:sz="4" w:space="0" w:color="auto"/>
              <w:bottom w:val="single" w:sz="4" w:space="0" w:color="auto"/>
              <w:right w:val="single" w:sz="4" w:space="0" w:color="auto"/>
            </w:tcBorders>
          </w:tcPr>
          <w:p w14:paraId="239E9805"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PDCCH BlindDetectionSCG</w:t>
            </w:r>
          </w:p>
        </w:tc>
        <w:tc>
          <w:tcPr>
            <w:tcW w:w="851" w:type="dxa"/>
            <w:tcBorders>
              <w:top w:val="single" w:sz="4" w:space="0" w:color="auto"/>
              <w:left w:val="single" w:sz="4" w:space="0" w:color="auto"/>
              <w:bottom w:val="single" w:sz="4" w:space="0" w:color="auto"/>
              <w:right w:val="single" w:sz="4" w:space="0" w:color="auto"/>
            </w:tcBorders>
          </w:tcPr>
          <w:p w14:paraId="163ABF73"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Borders>
              <w:top w:val="single" w:sz="4" w:space="0" w:color="auto"/>
              <w:left w:val="single" w:sz="4" w:space="0" w:color="auto"/>
              <w:bottom w:val="single" w:sz="4" w:space="0" w:color="auto"/>
              <w:right w:val="single" w:sz="4" w:space="0" w:color="auto"/>
            </w:tcBorders>
          </w:tcPr>
          <w:p w14:paraId="66CF6B21"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3E4DAE59"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Yu Mincho" w:hAnsi="Arial"/>
                <w:kern w:val="0"/>
                <w:sz w:val="16"/>
                <w:szCs w:val="20"/>
                <w:lang w:val="en-GB" w:eastAsia="ja-JP"/>
              </w:rPr>
              <w:t>OCTET STRING</w:t>
            </w:r>
          </w:p>
        </w:tc>
        <w:tc>
          <w:tcPr>
            <w:tcW w:w="2976" w:type="dxa"/>
            <w:tcBorders>
              <w:top w:val="single" w:sz="4" w:space="0" w:color="auto"/>
              <w:left w:val="single" w:sz="4" w:space="0" w:color="auto"/>
              <w:bottom w:val="single" w:sz="4" w:space="0" w:color="auto"/>
              <w:right w:val="single" w:sz="4" w:space="0" w:color="auto"/>
            </w:tcBorders>
          </w:tcPr>
          <w:p w14:paraId="4526729C"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eastAsia="en-GB"/>
              </w:rPr>
            </w:pPr>
            <w:r w:rsidRPr="00A757E1">
              <w:rPr>
                <w:rFonts w:ascii="Arial" w:eastAsia="Times New Roman" w:hAnsi="Arial"/>
                <w:kern w:val="0"/>
                <w:sz w:val="16"/>
                <w:szCs w:val="20"/>
                <w:lang w:val="en-GB" w:eastAsia="en-GB"/>
              </w:rPr>
              <w:t>pdcch-BlindDetectionSCG, as defined in TS 38.331 [8].</w:t>
            </w:r>
            <w:r w:rsidRPr="00A757E1">
              <w:rPr>
                <w:rFonts w:ascii="Arial" w:eastAsia="Times New Roman" w:hAnsi="Arial" w:hint="eastAsia"/>
                <w:kern w:val="0"/>
                <w:sz w:val="16"/>
                <w:szCs w:val="20"/>
                <w:lang w:val="en-GB"/>
              </w:rPr>
              <w:t xml:space="preserve"> This IE is used between the MgNB-DU and the MgNB-CU.</w:t>
            </w:r>
          </w:p>
        </w:tc>
        <w:tc>
          <w:tcPr>
            <w:tcW w:w="992" w:type="dxa"/>
            <w:tcBorders>
              <w:top w:val="single" w:sz="4" w:space="0" w:color="auto"/>
              <w:left w:val="single" w:sz="4" w:space="0" w:color="auto"/>
              <w:bottom w:val="single" w:sz="4" w:space="0" w:color="auto"/>
              <w:right w:val="single" w:sz="4" w:space="0" w:color="auto"/>
            </w:tcBorders>
          </w:tcPr>
          <w:p w14:paraId="6F07A230"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YES</w:t>
            </w:r>
          </w:p>
        </w:tc>
        <w:tc>
          <w:tcPr>
            <w:tcW w:w="709" w:type="dxa"/>
            <w:tcBorders>
              <w:top w:val="single" w:sz="4" w:space="0" w:color="auto"/>
              <w:left w:val="single" w:sz="4" w:space="0" w:color="auto"/>
              <w:bottom w:val="single" w:sz="4" w:space="0" w:color="auto"/>
              <w:right w:val="single" w:sz="4" w:space="0" w:color="auto"/>
            </w:tcBorders>
          </w:tcPr>
          <w:p w14:paraId="12E5EB46"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ignore</w:t>
            </w:r>
          </w:p>
        </w:tc>
      </w:tr>
      <w:tr w:rsidR="00A757E1" w:rsidRPr="00A757E1" w14:paraId="53DB3C2C" w14:textId="77777777" w:rsidTr="00A757E1">
        <w:tc>
          <w:tcPr>
            <w:tcW w:w="1701" w:type="dxa"/>
            <w:tcBorders>
              <w:top w:val="single" w:sz="4" w:space="0" w:color="auto"/>
              <w:left w:val="single" w:sz="4" w:space="0" w:color="auto"/>
              <w:bottom w:val="single" w:sz="4" w:space="0" w:color="auto"/>
              <w:right w:val="single" w:sz="4" w:space="0" w:color="auto"/>
            </w:tcBorders>
          </w:tcPr>
          <w:p w14:paraId="4F97F3BE"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hint="eastAsia"/>
                <w:kern w:val="0"/>
                <w:sz w:val="16"/>
                <w:szCs w:val="20"/>
                <w:lang w:val="en-GB"/>
              </w:rPr>
              <w:t xml:space="preserve">Requested </w:t>
            </w:r>
            <w:r w:rsidRPr="00A757E1">
              <w:rPr>
                <w:rFonts w:ascii="Arial" w:eastAsia="Times New Roman" w:hAnsi="Arial"/>
                <w:kern w:val="0"/>
                <w:sz w:val="16"/>
                <w:szCs w:val="20"/>
                <w:lang w:val="en-GB"/>
              </w:rPr>
              <w:t>PDCCH BlindDetectionSCG</w:t>
            </w:r>
          </w:p>
        </w:tc>
        <w:tc>
          <w:tcPr>
            <w:tcW w:w="851" w:type="dxa"/>
            <w:tcBorders>
              <w:top w:val="single" w:sz="4" w:space="0" w:color="auto"/>
              <w:left w:val="single" w:sz="4" w:space="0" w:color="auto"/>
              <w:bottom w:val="single" w:sz="4" w:space="0" w:color="auto"/>
              <w:right w:val="single" w:sz="4" w:space="0" w:color="auto"/>
            </w:tcBorders>
          </w:tcPr>
          <w:p w14:paraId="136EA81A"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Borders>
              <w:top w:val="single" w:sz="4" w:space="0" w:color="auto"/>
              <w:left w:val="single" w:sz="4" w:space="0" w:color="auto"/>
              <w:bottom w:val="single" w:sz="4" w:space="0" w:color="auto"/>
              <w:right w:val="single" w:sz="4" w:space="0" w:color="auto"/>
            </w:tcBorders>
          </w:tcPr>
          <w:p w14:paraId="1733AC63"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34691B9F"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Yu Mincho" w:hAnsi="Arial"/>
                <w:kern w:val="0"/>
                <w:sz w:val="16"/>
                <w:szCs w:val="20"/>
                <w:lang w:val="en-GB" w:eastAsia="ja-JP"/>
              </w:rPr>
              <w:t>OCTET STRING</w:t>
            </w:r>
          </w:p>
        </w:tc>
        <w:tc>
          <w:tcPr>
            <w:tcW w:w="2976" w:type="dxa"/>
            <w:tcBorders>
              <w:top w:val="single" w:sz="4" w:space="0" w:color="auto"/>
              <w:left w:val="single" w:sz="4" w:space="0" w:color="auto"/>
              <w:bottom w:val="single" w:sz="4" w:space="0" w:color="auto"/>
              <w:right w:val="single" w:sz="4" w:space="0" w:color="auto"/>
            </w:tcBorders>
          </w:tcPr>
          <w:p w14:paraId="3F556B71"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eastAsia="en-GB"/>
              </w:rPr>
            </w:pPr>
            <w:r w:rsidRPr="00A757E1">
              <w:rPr>
                <w:rFonts w:ascii="Arial" w:eastAsia="Times New Roman" w:hAnsi="Arial"/>
                <w:kern w:val="0"/>
                <w:sz w:val="16"/>
                <w:szCs w:val="20"/>
                <w:lang w:val="en-GB" w:eastAsia="en-GB"/>
              </w:rPr>
              <w:t>requestedPDCCH-BlindDetectionSCG, as defined in TS 38.331 [8].</w:t>
            </w:r>
            <w:r w:rsidRPr="00A757E1">
              <w:rPr>
                <w:rFonts w:ascii="Arial" w:eastAsia="Times New Roman" w:hAnsi="Arial" w:hint="eastAsia"/>
                <w:kern w:val="0"/>
                <w:sz w:val="16"/>
                <w:szCs w:val="20"/>
                <w:lang w:val="en-GB" w:eastAsia="en-GB"/>
              </w:rPr>
              <w:t xml:space="preserve"> This IE is used between the </w:t>
            </w:r>
            <w:r w:rsidRPr="00A757E1">
              <w:rPr>
                <w:rFonts w:ascii="Arial" w:eastAsia="Times New Roman" w:hAnsi="Arial" w:hint="eastAsia"/>
                <w:kern w:val="0"/>
                <w:sz w:val="16"/>
                <w:szCs w:val="20"/>
                <w:lang w:val="en-GB"/>
              </w:rPr>
              <w:t>S</w:t>
            </w:r>
            <w:r w:rsidRPr="00A757E1">
              <w:rPr>
                <w:rFonts w:ascii="Arial" w:eastAsia="Times New Roman" w:hAnsi="Arial" w:hint="eastAsia"/>
                <w:kern w:val="0"/>
                <w:sz w:val="16"/>
                <w:szCs w:val="20"/>
                <w:lang w:val="en-GB" w:eastAsia="en-GB"/>
              </w:rPr>
              <w:t xml:space="preserve">gNB-DU and the </w:t>
            </w:r>
            <w:r w:rsidRPr="00A757E1">
              <w:rPr>
                <w:rFonts w:ascii="Arial" w:eastAsia="Times New Roman" w:hAnsi="Arial" w:hint="eastAsia"/>
                <w:kern w:val="0"/>
                <w:sz w:val="16"/>
                <w:szCs w:val="20"/>
                <w:lang w:val="en-GB"/>
              </w:rPr>
              <w:t>S</w:t>
            </w:r>
            <w:r w:rsidRPr="00A757E1">
              <w:rPr>
                <w:rFonts w:ascii="Arial" w:eastAsia="Times New Roman" w:hAnsi="Arial" w:hint="eastAsia"/>
                <w:kern w:val="0"/>
                <w:sz w:val="16"/>
                <w:szCs w:val="20"/>
                <w:lang w:val="en-GB" w:eastAsia="en-GB"/>
              </w:rPr>
              <w:t>gNB-CU.</w:t>
            </w:r>
          </w:p>
        </w:tc>
        <w:tc>
          <w:tcPr>
            <w:tcW w:w="992" w:type="dxa"/>
            <w:tcBorders>
              <w:top w:val="single" w:sz="4" w:space="0" w:color="auto"/>
              <w:left w:val="single" w:sz="4" w:space="0" w:color="auto"/>
              <w:bottom w:val="single" w:sz="4" w:space="0" w:color="auto"/>
              <w:right w:val="single" w:sz="4" w:space="0" w:color="auto"/>
            </w:tcBorders>
          </w:tcPr>
          <w:p w14:paraId="4B07AF3C"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YES</w:t>
            </w:r>
          </w:p>
        </w:tc>
        <w:tc>
          <w:tcPr>
            <w:tcW w:w="709" w:type="dxa"/>
            <w:tcBorders>
              <w:top w:val="single" w:sz="4" w:space="0" w:color="auto"/>
              <w:left w:val="single" w:sz="4" w:space="0" w:color="auto"/>
              <w:bottom w:val="single" w:sz="4" w:space="0" w:color="auto"/>
              <w:right w:val="single" w:sz="4" w:space="0" w:color="auto"/>
            </w:tcBorders>
          </w:tcPr>
          <w:p w14:paraId="00DA5AD5"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ignore</w:t>
            </w:r>
          </w:p>
        </w:tc>
      </w:tr>
      <w:tr w:rsidR="00A757E1" w:rsidRPr="00A757E1" w14:paraId="23937D97" w14:textId="77777777" w:rsidTr="00A757E1">
        <w:tc>
          <w:tcPr>
            <w:tcW w:w="1701" w:type="dxa"/>
            <w:tcBorders>
              <w:top w:val="single" w:sz="4" w:space="0" w:color="auto"/>
              <w:left w:val="single" w:sz="4" w:space="0" w:color="auto"/>
              <w:bottom w:val="single" w:sz="4" w:space="0" w:color="auto"/>
              <w:right w:val="single" w:sz="4" w:space="0" w:color="auto"/>
            </w:tcBorders>
          </w:tcPr>
          <w:p w14:paraId="1CA056EE"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Ph-InfoMCG</w:t>
            </w:r>
          </w:p>
        </w:tc>
        <w:tc>
          <w:tcPr>
            <w:tcW w:w="851" w:type="dxa"/>
            <w:tcBorders>
              <w:top w:val="single" w:sz="4" w:space="0" w:color="auto"/>
              <w:left w:val="single" w:sz="4" w:space="0" w:color="auto"/>
              <w:bottom w:val="single" w:sz="4" w:space="0" w:color="auto"/>
              <w:right w:val="single" w:sz="4" w:space="0" w:color="auto"/>
            </w:tcBorders>
          </w:tcPr>
          <w:p w14:paraId="4E339977"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Borders>
              <w:top w:val="single" w:sz="4" w:space="0" w:color="auto"/>
              <w:left w:val="single" w:sz="4" w:space="0" w:color="auto"/>
              <w:bottom w:val="single" w:sz="4" w:space="0" w:color="auto"/>
              <w:right w:val="single" w:sz="4" w:space="0" w:color="auto"/>
            </w:tcBorders>
          </w:tcPr>
          <w:p w14:paraId="2C933C21"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277685EC"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Yu Mincho" w:hAnsi="Arial"/>
                <w:kern w:val="0"/>
                <w:sz w:val="16"/>
                <w:szCs w:val="20"/>
                <w:lang w:val="en-GB" w:eastAsia="ja-JP"/>
              </w:rPr>
              <w:t>OCTET STRING</w:t>
            </w:r>
          </w:p>
        </w:tc>
        <w:tc>
          <w:tcPr>
            <w:tcW w:w="2976" w:type="dxa"/>
            <w:tcBorders>
              <w:top w:val="single" w:sz="4" w:space="0" w:color="auto"/>
              <w:left w:val="single" w:sz="4" w:space="0" w:color="auto"/>
              <w:bottom w:val="single" w:sz="4" w:space="0" w:color="auto"/>
              <w:right w:val="single" w:sz="4" w:space="0" w:color="auto"/>
            </w:tcBorders>
          </w:tcPr>
          <w:p w14:paraId="08FC709A"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eastAsia="en-GB"/>
              </w:rPr>
            </w:pPr>
            <w:r w:rsidRPr="00A757E1">
              <w:rPr>
                <w:rFonts w:ascii="Arial" w:eastAsia="Times New Roman" w:hAnsi="Arial"/>
                <w:kern w:val="0"/>
                <w:sz w:val="16"/>
                <w:szCs w:val="20"/>
                <w:lang w:val="en-GB" w:eastAsia="en-GB"/>
              </w:rPr>
              <w:t>PH-TypeList</w:t>
            </w:r>
            <w:r w:rsidRPr="00A757E1">
              <w:rPr>
                <w:rFonts w:ascii="Arial" w:eastAsia="Times New Roman" w:hAnsi="Arial"/>
                <w:kern w:val="0"/>
                <w:sz w:val="16"/>
                <w:szCs w:val="20"/>
                <w:lang w:val="en-GB"/>
              </w:rPr>
              <w:t>M</w:t>
            </w:r>
            <w:r w:rsidRPr="00A757E1">
              <w:rPr>
                <w:rFonts w:ascii="Arial" w:eastAsia="Times New Roman" w:hAnsi="Arial"/>
                <w:kern w:val="0"/>
                <w:sz w:val="16"/>
                <w:szCs w:val="20"/>
                <w:lang w:val="en-GB" w:eastAsia="en-GB"/>
              </w:rPr>
              <w:t>CG, as defined in TS 38.331 [8].</w:t>
            </w:r>
            <w:r w:rsidRPr="00A757E1">
              <w:rPr>
                <w:rFonts w:ascii="Arial" w:eastAsia="Times New Roman" w:hAnsi="Arial"/>
                <w:kern w:val="0"/>
                <w:sz w:val="16"/>
                <w:szCs w:val="20"/>
                <w:lang w:val="en-GB"/>
              </w:rPr>
              <w:t xml:space="preserve"> </w:t>
            </w:r>
            <w:r w:rsidRPr="00A757E1">
              <w:rPr>
                <w:rFonts w:ascii="Arial" w:eastAsia="Times New Roman" w:hAnsi="Arial"/>
                <w:kern w:val="0"/>
                <w:sz w:val="16"/>
                <w:szCs w:val="20"/>
                <w:lang w:val="en-GB" w:eastAsia="en-GB"/>
              </w:rPr>
              <w:t xml:space="preserve">For MR-DC, this IE should be included so that gNB-CU is informed of the Power Headroom type for each serving cell in </w:t>
            </w:r>
            <w:r w:rsidRPr="00A757E1">
              <w:rPr>
                <w:rFonts w:ascii="Arial" w:eastAsia="Times New Roman" w:hAnsi="Arial"/>
                <w:kern w:val="0"/>
                <w:sz w:val="16"/>
                <w:szCs w:val="20"/>
                <w:lang w:val="en-GB"/>
              </w:rPr>
              <w:t>M</w:t>
            </w:r>
            <w:r w:rsidRPr="00A757E1">
              <w:rPr>
                <w:rFonts w:ascii="Arial" w:eastAsia="Times New Roman" w:hAnsi="Arial" w:hint="eastAsia"/>
                <w:kern w:val="0"/>
                <w:sz w:val="16"/>
                <w:szCs w:val="20"/>
                <w:lang w:val="en-GB"/>
              </w:rPr>
              <w:t>CG</w:t>
            </w:r>
            <w:r w:rsidRPr="00A757E1">
              <w:rPr>
                <w:rFonts w:ascii="Arial" w:eastAsia="Times New Roman" w:hAnsi="Arial"/>
                <w:kern w:val="0"/>
                <w:sz w:val="16"/>
                <w:szCs w:val="20"/>
                <w:lang w:val="en-GB" w:eastAsia="en-GB"/>
              </w:rPr>
              <w:t>.</w:t>
            </w:r>
          </w:p>
        </w:tc>
        <w:tc>
          <w:tcPr>
            <w:tcW w:w="992" w:type="dxa"/>
            <w:tcBorders>
              <w:top w:val="single" w:sz="4" w:space="0" w:color="auto"/>
              <w:left w:val="single" w:sz="4" w:space="0" w:color="auto"/>
              <w:bottom w:val="single" w:sz="4" w:space="0" w:color="auto"/>
              <w:right w:val="single" w:sz="4" w:space="0" w:color="auto"/>
            </w:tcBorders>
          </w:tcPr>
          <w:p w14:paraId="57786A75"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YES</w:t>
            </w:r>
          </w:p>
        </w:tc>
        <w:tc>
          <w:tcPr>
            <w:tcW w:w="709" w:type="dxa"/>
            <w:tcBorders>
              <w:top w:val="single" w:sz="4" w:space="0" w:color="auto"/>
              <w:left w:val="single" w:sz="4" w:space="0" w:color="auto"/>
              <w:bottom w:val="single" w:sz="4" w:space="0" w:color="auto"/>
              <w:right w:val="single" w:sz="4" w:space="0" w:color="auto"/>
            </w:tcBorders>
          </w:tcPr>
          <w:p w14:paraId="4198F248"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ignore</w:t>
            </w:r>
          </w:p>
        </w:tc>
      </w:tr>
      <w:tr w:rsidR="00A757E1" w:rsidRPr="00A757E1" w14:paraId="4C39CA4A" w14:textId="77777777" w:rsidTr="00A757E1">
        <w:tc>
          <w:tcPr>
            <w:tcW w:w="1701" w:type="dxa"/>
            <w:tcBorders>
              <w:top w:val="single" w:sz="4" w:space="0" w:color="auto"/>
              <w:left w:val="single" w:sz="4" w:space="0" w:color="auto"/>
              <w:bottom w:val="single" w:sz="4" w:space="0" w:color="auto"/>
              <w:right w:val="single" w:sz="4" w:space="0" w:color="auto"/>
            </w:tcBorders>
          </w:tcPr>
          <w:p w14:paraId="6C45BDA1"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MeasGapSharingConfig</w:t>
            </w:r>
          </w:p>
        </w:tc>
        <w:tc>
          <w:tcPr>
            <w:tcW w:w="851" w:type="dxa"/>
            <w:tcBorders>
              <w:top w:val="single" w:sz="4" w:space="0" w:color="auto"/>
              <w:left w:val="single" w:sz="4" w:space="0" w:color="auto"/>
              <w:bottom w:val="single" w:sz="4" w:space="0" w:color="auto"/>
              <w:right w:val="single" w:sz="4" w:space="0" w:color="auto"/>
            </w:tcBorders>
          </w:tcPr>
          <w:p w14:paraId="4A88B708"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Borders>
              <w:top w:val="single" w:sz="4" w:space="0" w:color="auto"/>
              <w:left w:val="single" w:sz="4" w:space="0" w:color="auto"/>
              <w:bottom w:val="single" w:sz="4" w:space="0" w:color="auto"/>
              <w:right w:val="single" w:sz="4" w:space="0" w:color="auto"/>
            </w:tcBorders>
          </w:tcPr>
          <w:p w14:paraId="79E29D52"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05BA56D1"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Yu Mincho" w:hAnsi="Arial"/>
                <w:kern w:val="0"/>
                <w:sz w:val="16"/>
                <w:szCs w:val="20"/>
                <w:lang w:val="en-GB" w:eastAsia="ja-JP"/>
              </w:rPr>
              <w:t>OCTET STRING</w:t>
            </w:r>
          </w:p>
        </w:tc>
        <w:tc>
          <w:tcPr>
            <w:tcW w:w="2976" w:type="dxa"/>
            <w:tcBorders>
              <w:top w:val="single" w:sz="4" w:space="0" w:color="auto"/>
              <w:left w:val="single" w:sz="4" w:space="0" w:color="auto"/>
              <w:bottom w:val="single" w:sz="4" w:space="0" w:color="auto"/>
              <w:right w:val="single" w:sz="4" w:space="0" w:color="auto"/>
            </w:tcBorders>
          </w:tcPr>
          <w:p w14:paraId="58A14580"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eastAsia="en-GB"/>
              </w:rPr>
            </w:pPr>
            <w:r w:rsidRPr="00A757E1">
              <w:rPr>
                <w:rFonts w:ascii="Arial" w:eastAsia="Malgun Gothic" w:hAnsi="Arial"/>
                <w:kern w:val="0"/>
                <w:sz w:val="16"/>
                <w:szCs w:val="20"/>
                <w:lang w:val="en-GB" w:eastAsia="en-GB"/>
              </w:rPr>
              <w:t>MeasGapSharingConfig as defined in TS 38.331 [8].</w:t>
            </w:r>
          </w:p>
        </w:tc>
        <w:tc>
          <w:tcPr>
            <w:tcW w:w="992" w:type="dxa"/>
            <w:tcBorders>
              <w:top w:val="single" w:sz="4" w:space="0" w:color="auto"/>
              <w:left w:val="single" w:sz="4" w:space="0" w:color="auto"/>
              <w:bottom w:val="single" w:sz="4" w:space="0" w:color="auto"/>
              <w:right w:val="single" w:sz="4" w:space="0" w:color="auto"/>
            </w:tcBorders>
          </w:tcPr>
          <w:p w14:paraId="3DF41478"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YES</w:t>
            </w:r>
          </w:p>
        </w:tc>
        <w:tc>
          <w:tcPr>
            <w:tcW w:w="709" w:type="dxa"/>
            <w:tcBorders>
              <w:top w:val="single" w:sz="4" w:space="0" w:color="auto"/>
              <w:left w:val="single" w:sz="4" w:space="0" w:color="auto"/>
              <w:bottom w:val="single" w:sz="4" w:space="0" w:color="auto"/>
              <w:right w:val="single" w:sz="4" w:space="0" w:color="auto"/>
            </w:tcBorders>
          </w:tcPr>
          <w:p w14:paraId="57C218AF"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ignore</w:t>
            </w:r>
          </w:p>
        </w:tc>
      </w:tr>
      <w:tr w:rsidR="00A757E1" w:rsidRPr="00A757E1" w14:paraId="426DAB20" w14:textId="77777777" w:rsidTr="00A757E1">
        <w:tc>
          <w:tcPr>
            <w:tcW w:w="1701" w:type="dxa"/>
            <w:tcBorders>
              <w:top w:val="single" w:sz="4" w:space="0" w:color="auto"/>
              <w:left w:val="single" w:sz="4" w:space="0" w:color="auto"/>
              <w:bottom w:val="single" w:sz="4" w:space="0" w:color="auto"/>
              <w:right w:val="single" w:sz="4" w:space="0" w:color="auto"/>
            </w:tcBorders>
          </w:tcPr>
          <w:p w14:paraId="6012551E"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hint="eastAsia"/>
                <w:kern w:val="0"/>
                <w:sz w:val="16"/>
                <w:szCs w:val="20"/>
                <w:lang w:val="en-GB"/>
              </w:rPr>
              <w:t>S</w:t>
            </w:r>
            <w:r w:rsidRPr="00A757E1">
              <w:rPr>
                <w:rFonts w:ascii="Arial" w:eastAsia="Times New Roman" w:hAnsi="Arial"/>
                <w:kern w:val="0"/>
                <w:sz w:val="16"/>
                <w:szCs w:val="20"/>
                <w:lang w:val="en-GB"/>
              </w:rPr>
              <w:t>L-PHY-MAC-RLC-Config</w:t>
            </w:r>
          </w:p>
        </w:tc>
        <w:tc>
          <w:tcPr>
            <w:tcW w:w="851" w:type="dxa"/>
            <w:tcBorders>
              <w:top w:val="single" w:sz="4" w:space="0" w:color="auto"/>
              <w:left w:val="single" w:sz="4" w:space="0" w:color="auto"/>
              <w:bottom w:val="single" w:sz="4" w:space="0" w:color="auto"/>
              <w:right w:val="single" w:sz="4" w:space="0" w:color="auto"/>
            </w:tcBorders>
          </w:tcPr>
          <w:p w14:paraId="3A5850BE"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Borders>
              <w:top w:val="single" w:sz="4" w:space="0" w:color="auto"/>
              <w:left w:val="single" w:sz="4" w:space="0" w:color="auto"/>
              <w:bottom w:val="single" w:sz="4" w:space="0" w:color="auto"/>
              <w:right w:val="single" w:sz="4" w:space="0" w:color="auto"/>
            </w:tcBorders>
          </w:tcPr>
          <w:p w14:paraId="691E51A0"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4B2E67B4"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Times New Roman" w:hAnsi="Arial" w:hint="eastAsia"/>
                <w:kern w:val="0"/>
                <w:sz w:val="16"/>
                <w:szCs w:val="20"/>
                <w:lang w:val="en-GB"/>
              </w:rPr>
              <w:t>O</w:t>
            </w:r>
            <w:r w:rsidRPr="00A757E1">
              <w:rPr>
                <w:rFonts w:ascii="Arial" w:eastAsia="Times New Roman" w:hAnsi="Arial"/>
                <w:kern w:val="0"/>
                <w:sz w:val="16"/>
                <w:szCs w:val="20"/>
                <w:lang w:val="en-GB"/>
              </w:rPr>
              <w:t>CTET STRING</w:t>
            </w:r>
          </w:p>
        </w:tc>
        <w:tc>
          <w:tcPr>
            <w:tcW w:w="2976" w:type="dxa"/>
            <w:tcBorders>
              <w:top w:val="single" w:sz="4" w:space="0" w:color="auto"/>
              <w:left w:val="single" w:sz="4" w:space="0" w:color="auto"/>
              <w:bottom w:val="single" w:sz="4" w:space="0" w:color="auto"/>
              <w:right w:val="single" w:sz="4" w:space="0" w:color="auto"/>
            </w:tcBorders>
          </w:tcPr>
          <w:p w14:paraId="4E4D328A"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Malgun Gothic" w:hAnsi="Arial"/>
                <w:kern w:val="0"/>
                <w:sz w:val="16"/>
                <w:szCs w:val="20"/>
                <w:lang w:val="en-GB" w:eastAsia="en-GB"/>
              </w:rPr>
            </w:pPr>
            <w:r w:rsidRPr="00A757E1">
              <w:rPr>
                <w:rFonts w:ascii="Arial" w:eastAsia="Times New Roman" w:hAnsi="Arial"/>
                <w:kern w:val="0"/>
                <w:sz w:val="16"/>
                <w:szCs w:val="20"/>
                <w:lang w:val="en-GB"/>
              </w:rPr>
              <w:t>SL-PHY-MAC-RLC-Config as defined in TS 38.331 [8].</w:t>
            </w:r>
          </w:p>
        </w:tc>
        <w:tc>
          <w:tcPr>
            <w:tcW w:w="992" w:type="dxa"/>
            <w:tcBorders>
              <w:top w:val="single" w:sz="4" w:space="0" w:color="auto"/>
              <w:left w:val="single" w:sz="4" w:space="0" w:color="auto"/>
              <w:bottom w:val="single" w:sz="4" w:space="0" w:color="auto"/>
              <w:right w:val="single" w:sz="4" w:space="0" w:color="auto"/>
            </w:tcBorders>
          </w:tcPr>
          <w:p w14:paraId="0298C349"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YES</w:t>
            </w:r>
          </w:p>
        </w:tc>
        <w:tc>
          <w:tcPr>
            <w:tcW w:w="709" w:type="dxa"/>
            <w:tcBorders>
              <w:top w:val="single" w:sz="4" w:space="0" w:color="auto"/>
              <w:left w:val="single" w:sz="4" w:space="0" w:color="auto"/>
              <w:bottom w:val="single" w:sz="4" w:space="0" w:color="auto"/>
              <w:right w:val="single" w:sz="4" w:space="0" w:color="auto"/>
            </w:tcBorders>
          </w:tcPr>
          <w:p w14:paraId="39887141"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hint="eastAsia"/>
                <w:kern w:val="0"/>
                <w:sz w:val="16"/>
                <w:szCs w:val="20"/>
                <w:lang w:val="en-GB"/>
              </w:rPr>
              <w:t>i</w:t>
            </w:r>
            <w:r w:rsidRPr="00A757E1">
              <w:rPr>
                <w:rFonts w:ascii="Arial" w:eastAsia="Times New Roman" w:hAnsi="Arial"/>
                <w:kern w:val="0"/>
                <w:sz w:val="16"/>
                <w:szCs w:val="20"/>
                <w:lang w:val="en-GB"/>
              </w:rPr>
              <w:t>gnore</w:t>
            </w:r>
          </w:p>
        </w:tc>
      </w:tr>
      <w:tr w:rsidR="00A757E1" w:rsidRPr="00A757E1" w14:paraId="6C2D54C6" w14:textId="77777777" w:rsidTr="00A757E1">
        <w:tc>
          <w:tcPr>
            <w:tcW w:w="1701" w:type="dxa"/>
            <w:tcBorders>
              <w:top w:val="single" w:sz="4" w:space="0" w:color="auto"/>
              <w:left w:val="single" w:sz="4" w:space="0" w:color="auto"/>
              <w:bottom w:val="single" w:sz="4" w:space="0" w:color="auto"/>
              <w:right w:val="single" w:sz="4" w:space="0" w:color="auto"/>
            </w:tcBorders>
          </w:tcPr>
          <w:p w14:paraId="044AB34F"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hint="eastAsia"/>
                <w:kern w:val="0"/>
                <w:sz w:val="16"/>
                <w:szCs w:val="20"/>
                <w:lang w:val="en-GB"/>
              </w:rPr>
              <w:t>S</w:t>
            </w:r>
            <w:r w:rsidRPr="00A757E1">
              <w:rPr>
                <w:rFonts w:ascii="Arial" w:eastAsia="Times New Roman" w:hAnsi="Arial"/>
                <w:kern w:val="0"/>
                <w:sz w:val="16"/>
                <w:szCs w:val="20"/>
                <w:lang w:val="en-GB"/>
              </w:rPr>
              <w:t>L-ConfigDedicatedEUTRA</w:t>
            </w:r>
          </w:p>
        </w:tc>
        <w:tc>
          <w:tcPr>
            <w:tcW w:w="851" w:type="dxa"/>
            <w:tcBorders>
              <w:top w:val="single" w:sz="4" w:space="0" w:color="auto"/>
              <w:left w:val="single" w:sz="4" w:space="0" w:color="auto"/>
              <w:bottom w:val="single" w:sz="4" w:space="0" w:color="auto"/>
              <w:right w:val="single" w:sz="4" w:space="0" w:color="auto"/>
            </w:tcBorders>
          </w:tcPr>
          <w:p w14:paraId="40CD9885"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hint="eastAsia"/>
                <w:kern w:val="0"/>
                <w:sz w:val="16"/>
                <w:szCs w:val="20"/>
                <w:lang w:val="en-GB"/>
              </w:rPr>
              <w:t>O</w:t>
            </w:r>
          </w:p>
        </w:tc>
        <w:tc>
          <w:tcPr>
            <w:tcW w:w="567" w:type="dxa"/>
            <w:tcBorders>
              <w:top w:val="single" w:sz="4" w:space="0" w:color="auto"/>
              <w:left w:val="single" w:sz="4" w:space="0" w:color="auto"/>
              <w:bottom w:val="single" w:sz="4" w:space="0" w:color="auto"/>
              <w:right w:val="single" w:sz="4" w:space="0" w:color="auto"/>
            </w:tcBorders>
          </w:tcPr>
          <w:p w14:paraId="2A60F059"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63F14B7D"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Times New Roman" w:hAnsi="Arial"/>
                <w:kern w:val="0"/>
                <w:sz w:val="16"/>
                <w:szCs w:val="20"/>
                <w:lang w:val="en-GB"/>
              </w:rPr>
              <w:t>OCTET STRING</w:t>
            </w:r>
          </w:p>
        </w:tc>
        <w:tc>
          <w:tcPr>
            <w:tcW w:w="2976" w:type="dxa"/>
            <w:tcBorders>
              <w:top w:val="single" w:sz="4" w:space="0" w:color="auto"/>
              <w:left w:val="single" w:sz="4" w:space="0" w:color="auto"/>
              <w:bottom w:val="single" w:sz="4" w:space="0" w:color="auto"/>
              <w:right w:val="single" w:sz="4" w:space="0" w:color="auto"/>
            </w:tcBorders>
          </w:tcPr>
          <w:p w14:paraId="3AE9ED5A"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Malgun Gothic" w:hAnsi="Arial"/>
                <w:kern w:val="0"/>
                <w:sz w:val="16"/>
                <w:szCs w:val="20"/>
                <w:lang w:val="en-GB" w:eastAsia="en-GB"/>
              </w:rPr>
            </w:pPr>
            <w:r w:rsidRPr="00A757E1">
              <w:rPr>
                <w:rFonts w:ascii="Arial" w:eastAsia="Times New Roman" w:hAnsi="Arial"/>
                <w:kern w:val="0"/>
                <w:sz w:val="16"/>
                <w:szCs w:val="20"/>
                <w:lang w:val="en-GB"/>
              </w:rPr>
              <w:t>SL-ConfigDedicatedEUTRA as defined in TS 38.331 [8].</w:t>
            </w:r>
          </w:p>
        </w:tc>
        <w:tc>
          <w:tcPr>
            <w:tcW w:w="992" w:type="dxa"/>
            <w:tcBorders>
              <w:top w:val="single" w:sz="4" w:space="0" w:color="auto"/>
              <w:left w:val="single" w:sz="4" w:space="0" w:color="auto"/>
              <w:bottom w:val="single" w:sz="4" w:space="0" w:color="auto"/>
              <w:right w:val="single" w:sz="4" w:space="0" w:color="auto"/>
            </w:tcBorders>
          </w:tcPr>
          <w:p w14:paraId="3B436199"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hint="eastAsia"/>
                <w:kern w:val="0"/>
                <w:sz w:val="16"/>
                <w:szCs w:val="20"/>
                <w:lang w:val="en-GB"/>
              </w:rPr>
              <w:t>Y</w:t>
            </w:r>
            <w:r w:rsidRPr="00A757E1">
              <w:rPr>
                <w:rFonts w:ascii="Arial" w:eastAsia="Times New Roman" w:hAnsi="Arial"/>
                <w:kern w:val="0"/>
                <w:sz w:val="16"/>
                <w:szCs w:val="20"/>
                <w:lang w:val="en-GB"/>
              </w:rPr>
              <w:t>ES</w:t>
            </w:r>
          </w:p>
        </w:tc>
        <w:tc>
          <w:tcPr>
            <w:tcW w:w="709" w:type="dxa"/>
            <w:tcBorders>
              <w:top w:val="single" w:sz="4" w:space="0" w:color="auto"/>
              <w:left w:val="single" w:sz="4" w:space="0" w:color="auto"/>
              <w:bottom w:val="single" w:sz="4" w:space="0" w:color="auto"/>
              <w:right w:val="single" w:sz="4" w:space="0" w:color="auto"/>
            </w:tcBorders>
          </w:tcPr>
          <w:p w14:paraId="23040480"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Times New Roman" w:hAnsi="Arial"/>
                <w:kern w:val="0"/>
                <w:sz w:val="16"/>
                <w:szCs w:val="20"/>
                <w:lang w:val="en-GB"/>
              </w:rPr>
            </w:pPr>
            <w:r w:rsidRPr="00A757E1">
              <w:rPr>
                <w:rFonts w:ascii="Arial" w:eastAsia="Times New Roman" w:hAnsi="Arial" w:hint="eastAsia"/>
                <w:kern w:val="0"/>
                <w:sz w:val="16"/>
                <w:szCs w:val="20"/>
                <w:lang w:val="en-GB"/>
              </w:rPr>
              <w:t>i</w:t>
            </w:r>
            <w:r w:rsidRPr="00A757E1">
              <w:rPr>
                <w:rFonts w:ascii="Arial" w:eastAsia="Times New Roman" w:hAnsi="Arial"/>
                <w:kern w:val="0"/>
                <w:sz w:val="16"/>
                <w:szCs w:val="20"/>
                <w:lang w:val="en-GB"/>
              </w:rPr>
              <w:t>gnore</w:t>
            </w:r>
          </w:p>
        </w:tc>
      </w:tr>
      <w:tr w:rsidR="00A757E1" w:rsidRPr="00A757E1" w14:paraId="1AEE51FD" w14:textId="77777777" w:rsidTr="00A757E1">
        <w:tc>
          <w:tcPr>
            <w:tcW w:w="1701" w:type="dxa"/>
          </w:tcPr>
          <w:p w14:paraId="221A2B90"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lastRenderedPageBreak/>
              <w:t>Requested P-MaxFR2</w:t>
            </w:r>
          </w:p>
        </w:tc>
        <w:tc>
          <w:tcPr>
            <w:tcW w:w="851" w:type="dxa"/>
          </w:tcPr>
          <w:p w14:paraId="6106020F"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kern w:val="0"/>
                <w:sz w:val="16"/>
                <w:szCs w:val="20"/>
                <w:lang w:val="en-GB"/>
              </w:rPr>
            </w:pPr>
            <w:r w:rsidRPr="00A757E1">
              <w:rPr>
                <w:rFonts w:ascii="Arial" w:eastAsia="Times New Roman" w:hAnsi="Arial"/>
                <w:kern w:val="0"/>
                <w:sz w:val="16"/>
                <w:szCs w:val="20"/>
                <w:lang w:val="en-GB"/>
              </w:rPr>
              <w:t>O</w:t>
            </w:r>
          </w:p>
        </w:tc>
        <w:tc>
          <w:tcPr>
            <w:tcW w:w="567" w:type="dxa"/>
          </w:tcPr>
          <w:p w14:paraId="3E89F5FB"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Times New Roman" w:hAnsi="Arial" w:cs="Arial"/>
                <w:kern w:val="0"/>
                <w:sz w:val="16"/>
                <w:szCs w:val="18"/>
                <w:lang w:val="en-GB" w:eastAsia="ja-JP"/>
              </w:rPr>
            </w:pPr>
          </w:p>
        </w:tc>
        <w:tc>
          <w:tcPr>
            <w:tcW w:w="1134" w:type="dxa"/>
          </w:tcPr>
          <w:p w14:paraId="4DAE73AD"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Yu Mincho" w:hAnsi="Arial"/>
                <w:kern w:val="0"/>
                <w:sz w:val="16"/>
                <w:szCs w:val="20"/>
                <w:lang w:val="en-GB" w:eastAsia="ja-JP"/>
              </w:rPr>
            </w:pPr>
            <w:r w:rsidRPr="00A757E1">
              <w:rPr>
                <w:rFonts w:ascii="Arial" w:eastAsia="Yu Mincho" w:hAnsi="Arial"/>
                <w:kern w:val="0"/>
                <w:sz w:val="16"/>
                <w:szCs w:val="20"/>
                <w:lang w:val="en-GB" w:eastAsia="ja-JP"/>
              </w:rPr>
              <w:t>OCTET STRING</w:t>
            </w:r>
          </w:p>
        </w:tc>
        <w:tc>
          <w:tcPr>
            <w:tcW w:w="2976" w:type="dxa"/>
          </w:tcPr>
          <w:p w14:paraId="3898975A"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Malgun Gothic" w:hAnsi="Arial"/>
                <w:kern w:val="0"/>
                <w:sz w:val="16"/>
                <w:szCs w:val="20"/>
                <w:lang w:val="en-GB" w:eastAsia="en-GB"/>
              </w:rPr>
            </w:pPr>
            <w:r w:rsidRPr="00A757E1">
              <w:rPr>
                <w:rFonts w:ascii="Arial" w:eastAsia="Malgun Gothic" w:hAnsi="Arial"/>
                <w:kern w:val="0"/>
                <w:sz w:val="16"/>
                <w:szCs w:val="20"/>
                <w:lang w:val="en-GB" w:eastAsia="en-GB"/>
              </w:rPr>
              <w:t xml:space="preserve">RequestedP-MaxFR2, as defined in TS 38.331 [8]. </w:t>
            </w:r>
          </w:p>
          <w:p w14:paraId="50F339ED" w14:textId="77777777" w:rsidR="00A757E1" w:rsidRPr="00A757E1" w:rsidRDefault="00A757E1" w:rsidP="00A757E1">
            <w:pPr>
              <w:keepNext/>
              <w:keepLines/>
              <w:widowControl/>
              <w:overflowPunct w:val="0"/>
              <w:autoSpaceDE w:val="0"/>
              <w:autoSpaceDN w:val="0"/>
              <w:adjustRightInd w:val="0"/>
              <w:snapToGrid w:val="0"/>
              <w:spacing w:after="0"/>
              <w:jc w:val="left"/>
              <w:textAlignment w:val="baseline"/>
              <w:rPr>
                <w:rFonts w:ascii="Arial" w:eastAsia="Malgun Gothic" w:hAnsi="Arial"/>
                <w:kern w:val="0"/>
                <w:sz w:val="16"/>
                <w:szCs w:val="20"/>
                <w:lang w:val="en-GB" w:eastAsia="en-GB"/>
              </w:rPr>
            </w:pPr>
            <w:r w:rsidRPr="00A757E1">
              <w:rPr>
                <w:rFonts w:ascii="Arial" w:eastAsia="Malgun Gothic" w:hAnsi="Arial"/>
                <w:kern w:val="0"/>
                <w:sz w:val="16"/>
                <w:szCs w:val="20"/>
                <w:lang w:val="en-GB" w:eastAsia="en-GB"/>
              </w:rPr>
              <w:t>For NR-DC operation, this IE should be included.</w:t>
            </w:r>
          </w:p>
        </w:tc>
        <w:tc>
          <w:tcPr>
            <w:tcW w:w="992" w:type="dxa"/>
          </w:tcPr>
          <w:p w14:paraId="1E0217F6"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Malgun Gothic" w:hAnsi="Arial"/>
                <w:kern w:val="0"/>
                <w:sz w:val="16"/>
                <w:szCs w:val="20"/>
                <w:lang w:val="en-GB" w:eastAsia="en-GB"/>
              </w:rPr>
            </w:pPr>
            <w:r w:rsidRPr="00A757E1">
              <w:rPr>
                <w:rFonts w:ascii="Arial" w:eastAsia="Times New Roman" w:hAnsi="Arial"/>
                <w:kern w:val="0"/>
                <w:sz w:val="16"/>
                <w:szCs w:val="20"/>
                <w:lang w:val="en-GB"/>
              </w:rPr>
              <w:t>YES</w:t>
            </w:r>
          </w:p>
        </w:tc>
        <w:tc>
          <w:tcPr>
            <w:tcW w:w="709" w:type="dxa"/>
          </w:tcPr>
          <w:p w14:paraId="515DEA32" w14:textId="77777777" w:rsidR="00A757E1" w:rsidRPr="00A757E1" w:rsidRDefault="00A757E1" w:rsidP="00A757E1">
            <w:pPr>
              <w:keepNext/>
              <w:keepLines/>
              <w:widowControl/>
              <w:overflowPunct w:val="0"/>
              <w:autoSpaceDE w:val="0"/>
              <w:autoSpaceDN w:val="0"/>
              <w:adjustRightInd w:val="0"/>
              <w:snapToGrid w:val="0"/>
              <w:spacing w:after="0"/>
              <w:jc w:val="center"/>
              <w:textAlignment w:val="baseline"/>
              <w:rPr>
                <w:rFonts w:ascii="Arial" w:eastAsia="Malgun Gothic" w:hAnsi="Arial"/>
                <w:kern w:val="0"/>
                <w:sz w:val="16"/>
                <w:szCs w:val="20"/>
                <w:lang w:val="en-GB" w:eastAsia="en-GB"/>
              </w:rPr>
            </w:pPr>
            <w:r w:rsidRPr="00A757E1">
              <w:rPr>
                <w:rFonts w:ascii="Arial" w:eastAsia="Times New Roman" w:hAnsi="Arial"/>
                <w:kern w:val="0"/>
                <w:sz w:val="16"/>
                <w:szCs w:val="20"/>
                <w:lang w:val="en-GB"/>
              </w:rPr>
              <w:t>ignore</w:t>
            </w:r>
          </w:p>
        </w:tc>
      </w:tr>
    </w:tbl>
    <w:p w14:paraId="7C3E8CCA" w14:textId="64DE2F8B" w:rsidR="003E4381" w:rsidRDefault="00A757E1">
      <w:r>
        <w:t xml:space="preserve">~~~~~~~~~~~~~~~~~~~~~~~~~~~~~~~~ TS 38.473 </w:t>
      </w:r>
      <w:r w:rsidR="00802556">
        <w:t>E</w:t>
      </w:r>
      <w:r>
        <w:t>nd ~~~~~~~~~~~~~~~~~~~~~~~~~~~~~~~~~~~~~~</w:t>
      </w:r>
    </w:p>
    <w:p w14:paraId="042513D2" w14:textId="1F3025F8" w:rsidR="00987F59" w:rsidRDefault="00802556" w:rsidP="00306941">
      <w:r>
        <w:t>As indicated above</w:t>
      </w:r>
      <w:r w:rsidR="00105AD3">
        <w:t xml:space="preserve">, the definition of </w:t>
      </w:r>
      <w:r w:rsidR="00306941">
        <w:t>the field</w:t>
      </w:r>
      <w:r>
        <w:t xml:space="preserve"> is referrring to the “BandCombinationIndex” </w:t>
      </w:r>
      <w:r w:rsidR="00306941">
        <w:t>defined in TS 38.331</w:t>
      </w:r>
      <w:r>
        <w:t>. In TS 38.331, the field is defined in</w:t>
      </w:r>
      <w:r w:rsidR="00306941">
        <w:t xml:space="preserve"> inter-node RRC messages</w:t>
      </w:r>
      <w:r>
        <w:t>, mainly used for SN to inform MN the selected band combination</w:t>
      </w:r>
      <w:r w:rsidR="00306941">
        <w:t>. The correspondin</w:t>
      </w:r>
      <w:r w:rsidR="00A10031">
        <w:t xml:space="preserve">g field description is given </w:t>
      </w:r>
      <w:r>
        <w:t xml:space="preserve">in Annex. </w:t>
      </w:r>
    </w:p>
    <w:p w14:paraId="7A71D67E" w14:textId="5EFC7279" w:rsidR="003E4381" w:rsidRDefault="00802556" w:rsidP="00306941">
      <w:r>
        <w:t xml:space="preserve">In short, the BandCombinationIndex value represents a given band combination </w:t>
      </w:r>
      <w:r w:rsidR="006D710C">
        <w:t>reported by</w:t>
      </w:r>
      <w:r>
        <w:t xml:space="preserve"> UE</w:t>
      </w:r>
      <w:r w:rsidR="006D710C">
        <w:t xml:space="preserve"> in</w:t>
      </w:r>
      <w:r>
        <w:t xml:space="preserve"> supported</w:t>
      </w:r>
      <w:r w:rsidR="009B5473">
        <w:t xml:space="preserve"> b</w:t>
      </w:r>
      <w:r>
        <w:t>and</w:t>
      </w:r>
      <w:r w:rsidR="009B5473">
        <w:t xml:space="preserve"> c</w:t>
      </w:r>
      <w:r>
        <w:t>ombination</w:t>
      </w:r>
      <w:r w:rsidR="009B5473">
        <w:t xml:space="preserve"> </w:t>
      </w:r>
      <w:r w:rsidR="00E63D13">
        <w:t>l</w:t>
      </w:r>
      <w:r>
        <w:t>ist</w:t>
      </w:r>
      <w:r w:rsidR="009B5473">
        <w:t xml:space="preserve"> </w:t>
      </w:r>
      <w:r w:rsidR="006D710C">
        <w:t>of</w:t>
      </w:r>
      <w:r w:rsidR="009B5473">
        <w:t xml:space="preserve"> capability container</w:t>
      </w:r>
      <w:r>
        <w:t xml:space="preserve">. </w:t>
      </w:r>
      <w:r w:rsidR="006D710C">
        <w:t xml:space="preserve">In addition, from RAN2’s point of view, to reduce the UE capability size, the UE can report its supported band combination list according to the “band filter” set by network. </w:t>
      </w:r>
      <w:r w:rsidR="00341C85">
        <w:t xml:space="preserve">When generates the supported band combination list, the </w:t>
      </w:r>
      <w:r w:rsidR="002F4F99">
        <w:t xml:space="preserve">UE is not allowed to </w:t>
      </w:r>
      <w:r w:rsidR="00341C85">
        <w:t>include</w:t>
      </w:r>
      <w:r w:rsidR="002F4F99">
        <w:t xml:space="preserve"> fallback combinations with the same capabilities of another band combination. </w:t>
      </w:r>
      <w:r w:rsidR="00341C85">
        <w:t>In addition, ba</w:t>
      </w:r>
      <w:r w:rsidR="002F4F99">
        <w:t>sed on the agreement made in RAN2#110e meeting, the UE is allowed to</w:t>
      </w:r>
      <w:r w:rsidR="00341C85">
        <w:t xml:space="preserve"> include non-CA band combination when the UE supports different capability from that of superset BC. </w:t>
      </w:r>
      <w:r w:rsidR="00EF5BC5">
        <w:t xml:space="preserve">Therefore, the supported band combination list can include single band </w:t>
      </w:r>
      <w:r w:rsidR="009125FE">
        <w:t>and</w:t>
      </w:r>
      <w:r w:rsidR="00EF5BC5">
        <w:t xml:space="preserve"> </w:t>
      </w:r>
      <w:r w:rsidR="00EF5BC5">
        <w:rPr>
          <w:rFonts w:hint="eastAsia"/>
        </w:rPr>
        <w:t>band</w:t>
      </w:r>
      <w:r w:rsidR="009125FE">
        <w:t xml:space="preserve"> combinations.</w:t>
      </w:r>
      <w:r w:rsidR="00EF5BC5">
        <w:t xml:space="preserve">   </w:t>
      </w:r>
    </w:p>
    <w:p w14:paraId="79EBB291" w14:textId="47B74F54" w:rsidR="00211F76" w:rsidRPr="00FD72D6" w:rsidRDefault="00211F76" w:rsidP="00211F76">
      <w:pPr>
        <w:ind w:left="1276" w:hanging="1276"/>
        <w:rPr>
          <w:b/>
        </w:rPr>
      </w:pPr>
      <w:r>
        <w:rPr>
          <w:b/>
        </w:rPr>
        <w:t>Observation</w:t>
      </w:r>
      <w:r>
        <w:rPr>
          <w:rFonts w:hint="eastAsia"/>
          <w:b/>
        </w:rPr>
        <w:t xml:space="preserve"> </w:t>
      </w:r>
      <w:r>
        <w:rPr>
          <w:b/>
        </w:rPr>
        <w:t>6</w:t>
      </w:r>
      <w:r>
        <w:rPr>
          <w:rFonts w:hint="eastAsia"/>
          <w:b/>
        </w:rPr>
        <w:t xml:space="preserve">:  </w:t>
      </w:r>
      <w:r w:rsidR="00D668BB">
        <w:rPr>
          <w:b/>
        </w:rPr>
        <w:t xml:space="preserve">The band </w:t>
      </w:r>
      <w:r w:rsidR="00EF5BC5">
        <w:rPr>
          <w:b/>
        </w:rPr>
        <w:t>information</w:t>
      </w:r>
      <w:r w:rsidR="00D668BB">
        <w:rPr>
          <w:b/>
        </w:rPr>
        <w:t xml:space="preserve"> </w:t>
      </w:r>
      <w:r w:rsidR="00DB452B">
        <w:rPr>
          <w:b/>
        </w:rPr>
        <w:t>indicated</w:t>
      </w:r>
      <w:r w:rsidR="00D668BB">
        <w:rPr>
          <w:b/>
        </w:rPr>
        <w:t xml:space="preserve"> </w:t>
      </w:r>
      <w:r w:rsidR="00DB452B">
        <w:rPr>
          <w:b/>
        </w:rPr>
        <w:t>through</w:t>
      </w:r>
      <w:r w:rsidR="00D668BB">
        <w:rPr>
          <w:b/>
        </w:rPr>
        <w:t xml:space="preserve"> BandCombinationIndex can be a single band, </w:t>
      </w:r>
      <w:r w:rsidR="00EF5BC5">
        <w:rPr>
          <w:b/>
        </w:rPr>
        <w:t>or</w:t>
      </w:r>
      <w:r w:rsidR="00D668BB">
        <w:rPr>
          <w:b/>
        </w:rPr>
        <w:t xml:space="preserve"> band combination</w:t>
      </w:r>
      <w:r>
        <w:rPr>
          <w:b/>
        </w:rPr>
        <w:t xml:space="preserve">. </w:t>
      </w:r>
    </w:p>
    <w:p w14:paraId="4E285487" w14:textId="7C3FA4CB" w:rsidR="009D46B4" w:rsidRDefault="00445576" w:rsidP="00EF5BC5">
      <w:r>
        <w:t xml:space="preserve">Back to RAN3’s question, as indicated in the LS, the purpose of informing CU the newly selected band, is to facilitate CU to update the measurement object if needed. </w:t>
      </w:r>
      <w:r w:rsidR="000E2765">
        <w:t>So in our understanding, it is sufficient to resuse the “BandCombinationIndex” field defined in F1 interface, because:</w:t>
      </w:r>
    </w:p>
    <w:p w14:paraId="5D6C9C91" w14:textId="66EB9B5C" w:rsidR="000E2765" w:rsidRPr="009D46B4" w:rsidRDefault="00DB452B" w:rsidP="009D46B4">
      <w:r w:rsidRPr="009D46B4">
        <w:t>Based on latest RAN4 spec, so far,</w:t>
      </w:r>
      <w:r w:rsidR="000E2765" w:rsidRPr="009D46B4">
        <w:t xml:space="preserve"> RAN4 has defined the following overlapping bands</w:t>
      </w:r>
      <w:r w:rsidRPr="009D46B4">
        <w:t xml:space="preserve"> for FR1:</w:t>
      </w:r>
    </w:p>
    <w:tbl>
      <w:tblPr>
        <w:tblW w:w="7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851"/>
        <w:gridCol w:w="1942"/>
        <w:gridCol w:w="2129"/>
        <w:gridCol w:w="942"/>
      </w:tblGrid>
      <w:tr w:rsidR="00DB452B" w:rsidRPr="00DB452B" w14:paraId="3D25D1FC" w14:textId="77777777" w:rsidTr="00DA76B8">
        <w:trPr>
          <w:jc w:val="center"/>
        </w:trPr>
        <w:tc>
          <w:tcPr>
            <w:tcW w:w="1213" w:type="dxa"/>
            <w:shd w:val="clear" w:color="auto" w:fill="E8F3D9" w:themeFill="accent5" w:themeFillTint="33"/>
            <w:vAlign w:val="center"/>
          </w:tcPr>
          <w:p w14:paraId="111876CF" w14:textId="77777777" w:rsidR="00DB452B" w:rsidRPr="00DB452B" w:rsidRDefault="00DB452B" w:rsidP="00DA76B8">
            <w:pPr>
              <w:keepNext/>
              <w:keepLines/>
              <w:widowControl/>
              <w:snapToGrid w:val="0"/>
              <w:spacing w:after="0"/>
              <w:jc w:val="center"/>
              <w:rPr>
                <w:rFonts w:ascii="Arial" w:eastAsia="MS Mincho" w:hAnsi="Arial"/>
                <w:b/>
                <w:kern w:val="0"/>
                <w:sz w:val="16"/>
                <w:szCs w:val="16"/>
                <w:lang w:val="en-GB" w:eastAsia="en-US"/>
              </w:rPr>
            </w:pPr>
            <w:r w:rsidRPr="00DB452B">
              <w:rPr>
                <w:rFonts w:ascii="Arial" w:eastAsia="MS Mincho" w:hAnsi="Arial"/>
                <w:b/>
                <w:kern w:val="0"/>
                <w:sz w:val="16"/>
                <w:szCs w:val="16"/>
                <w:lang w:val="en-GB" w:eastAsia="en-US"/>
              </w:rPr>
              <w:t>Overlapping bands group</w:t>
            </w:r>
          </w:p>
        </w:tc>
        <w:tc>
          <w:tcPr>
            <w:tcW w:w="851" w:type="dxa"/>
            <w:shd w:val="clear" w:color="auto" w:fill="E8F3D9" w:themeFill="accent5" w:themeFillTint="33"/>
            <w:vAlign w:val="center"/>
            <w:hideMark/>
          </w:tcPr>
          <w:p w14:paraId="7292A762" w14:textId="77777777" w:rsidR="00DB452B" w:rsidRPr="00DB452B" w:rsidRDefault="00DB452B" w:rsidP="00DA76B8">
            <w:pPr>
              <w:keepNext/>
              <w:keepLines/>
              <w:widowControl/>
              <w:snapToGrid w:val="0"/>
              <w:spacing w:after="0"/>
              <w:jc w:val="center"/>
              <w:rPr>
                <w:rFonts w:ascii="Arial" w:eastAsia="MS Mincho" w:hAnsi="Arial"/>
                <w:b/>
                <w:kern w:val="0"/>
                <w:sz w:val="16"/>
                <w:szCs w:val="16"/>
                <w:lang w:val="en-GB" w:eastAsia="en-US"/>
              </w:rPr>
            </w:pPr>
            <w:r w:rsidRPr="00DB452B">
              <w:rPr>
                <w:rFonts w:ascii="Arial" w:eastAsia="MS Mincho" w:hAnsi="Arial"/>
                <w:b/>
                <w:kern w:val="0"/>
                <w:sz w:val="16"/>
                <w:szCs w:val="16"/>
                <w:lang w:val="en-GB" w:eastAsia="en-US"/>
              </w:rPr>
              <w:t>band</w:t>
            </w:r>
          </w:p>
        </w:tc>
        <w:tc>
          <w:tcPr>
            <w:tcW w:w="1942" w:type="dxa"/>
            <w:shd w:val="clear" w:color="auto" w:fill="E8F3D9" w:themeFill="accent5" w:themeFillTint="33"/>
            <w:vAlign w:val="center"/>
            <w:hideMark/>
          </w:tcPr>
          <w:p w14:paraId="7F2C3FAD" w14:textId="77777777" w:rsidR="00DB452B" w:rsidRPr="00DB452B" w:rsidRDefault="00DB452B" w:rsidP="00DA76B8">
            <w:pPr>
              <w:keepNext/>
              <w:keepLines/>
              <w:widowControl/>
              <w:snapToGrid w:val="0"/>
              <w:spacing w:after="0"/>
              <w:jc w:val="center"/>
              <w:rPr>
                <w:rFonts w:ascii="Arial" w:eastAsia="MS Mincho" w:hAnsi="Arial"/>
                <w:b/>
                <w:kern w:val="0"/>
                <w:sz w:val="16"/>
                <w:szCs w:val="16"/>
                <w:lang w:val="en-GB" w:eastAsia="en-US"/>
              </w:rPr>
            </w:pPr>
            <w:r w:rsidRPr="00DB452B">
              <w:rPr>
                <w:rFonts w:ascii="Arial" w:eastAsia="MS Mincho" w:hAnsi="Arial"/>
                <w:b/>
                <w:kern w:val="0"/>
                <w:sz w:val="16"/>
                <w:szCs w:val="16"/>
                <w:lang w:val="en-GB" w:eastAsia="en-US"/>
              </w:rPr>
              <w:t>UL</w:t>
            </w:r>
          </w:p>
        </w:tc>
        <w:tc>
          <w:tcPr>
            <w:tcW w:w="2129" w:type="dxa"/>
            <w:shd w:val="clear" w:color="auto" w:fill="E8F3D9" w:themeFill="accent5" w:themeFillTint="33"/>
            <w:vAlign w:val="center"/>
            <w:hideMark/>
          </w:tcPr>
          <w:p w14:paraId="5F93D166" w14:textId="77777777" w:rsidR="00DB452B" w:rsidRPr="00DB452B" w:rsidRDefault="00DB452B" w:rsidP="00DA76B8">
            <w:pPr>
              <w:keepNext/>
              <w:keepLines/>
              <w:widowControl/>
              <w:snapToGrid w:val="0"/>
              <w:spacing w:after="0"/>
              <w:jc w:val="center"/>
              <w:rPr>
                <w:rFonts w:ascii="Arial" w:eastAsia="MS Mincho" w:hAnsi="Arial"/>
                <w:b/>
                <w:kern w:val="0"/>
                <w:sz w:val="16"/>
                <w:szCs w:val="16"/>
                <w:lang w:val="en-GB" w:eastAsia="en-US"/>
              </w:rPr>
            </w:pPr>
            <w:r w:rsidRPr="00DB452B">
              <w:rPr>
                <w:rFonts w:ascii="Arial" w:eastAsia="MS Mincho" w:hAnsi="Arial"/>
                <w:b/>
                <w:kern w:val="0"/>
                <w:sz w:val="16"/>
                <w:szCs w:val="16"/>
                <w:lang w:val="en-GB" w:eastAsia="en-US"/>
              </w:rPr>
              <w:t>DL</w:t>
            </w:r>
          </w:p>
        </w:tc>
        <w:tc>
          <w:tcPr>
            <w:tcW w:w="942" w:type="dxa"/>
            <w:shd w:val="clear" w:color="auto" w:fill="E8F3D9" w:themeFill="accent5" w:themeFillTint="33"/>
            <w:vAlign w:val="center"/>
            <w:hideMark/>
          </w:tcPr>
          <w:p w14:paraId="44D51224" w14:textId="77777777" w:rsidR="00DB452B" w:rsidRPr="00DB452B" w:rsidRDefault="00DB452B" w:rsidP="00DA76B8">
            <w:pPr>
              <w:keepNext/>
              <w:keepLines/>
              <w:widowControl/>
              <w:snapToGrid w:val="0"/>
              <w:spacing w:after="0"/>
              <w:jc w:val="center"/>
              <w:rPr>
                <w:rFonts w:ascii="Arial" w:eastAsia="MS Mincho" w:hAnsi="Arial"/>
                <w:b/>
                <w:kern w:val="0"/>
                <w:sz w:val="16"/>
                <w:szCs w:val="16"/>
                <w:lang w:val="en-GB" w:eastAsia="en-US"/>
              </w:rPr>
            </w:pPr>
            <w:r w:rsidRPr="00DB452B">
              <w:rPr>
                <w:rFonts w:ascii="Arial" w:eastAsia="MS Mincho" w:hAnsi="Arial"/>
                <w:b/>
                <w:kern w:val="0"/>
                <w:sz w:val="16"/>
                <w:szCs w:val="16"/>
                <w:lang w:val="en-GB" w:eastAsia="en-US"/>
              </w:rPr>
              <w:t>Duplex mode</w:t>
            </w:r>
          </w:p>
        </w:tc>
      </w:tr>
      <w:tr w:rsidR="00DB452B" w:rsidRPr="00DB452B" w14:paraId="31410A5E" w14:textId="77777777" w:rsidTr="00DA76B8">
        <w:trPr>
          <w:jc w:val="center"/>
        </w:trPr>
        <w:tc>
          <w:tcPr>
            <w:tcW w:w="1213" w:type="dxa"/>
            <w:vMerge w:val="restart"/>
            <w:vAlign w:val="center"/>
          </w:tcPr>
          <w:p w14:paraId="6EF58164" w14:textId="77777777" w:rsidR="00DB452B" w:rsidRPr="00DB452B" w:rsidRDefault="00DB452B" w:rsidP="00DA76B8">
            <w:pPr>
              <w:keepNext/>
              <w:keepLines/>
              <w:widowControl/>
              <w:spacing w:after="0"/>
              <w:jc w:val="center"/>
              <w:rPr>
                <w:rFonts w:ascii="Arial" w:eastAsia="MS Mincho" w:hAnsi="Arial"/>
                <w:kern w:val="0"/>
                <w:sz w:val="16"/>
                <w:szCs w:val="20"/>
                <w:lang w:val="en-GB" w:eastAsia="en-US"/>
              </w:rPr>
            </w:pPr>
            <w:r w:rsidRPr="00DB452B">
              <w:rPr>
                <w:rFonts w:ascii="Arial" w:eastAsia="MS Mincho" w:hAnsi="Arial"/>
                <w:kern w:val="0"/>
                <w:sz w:val="16"/>
                <w:szCs w:val="20"/>
                <w:lang w:val="en-GB" w:eastAsia="en-US"/>
              </w:rPr>
              <w:t>Group 1</w:t>
            </w:r>
          </w:p>
        </w:tc>
        <w:tc>
          <w:tcPr>
            <w:tcW w:w="851" w:type="dxa"/>
            <w:hideMark/>
          </w:tcPr>
          <w:p w14:paraId="5B71D928" w14:textId="77777777" w:rsidR="00DB452B" w:rsidRPr="00DB452B" w:rsidRDefault="00DB452B" w:rsidP="00DA76B8">
            <w:pPr>
              <w:keepNext/>
              <w:keepLines/>
              <w:widowControl/>
              <w:spacing w:after="0"/>
              <w:jc w:val="center"/>
              <w:rPr>
                <w:rFonts w:ascii="Arial" w:eastAsia="MS Mincho" w:hAnsi="Arial"/>
                <w:kern w:val="0"/>
                <w:sz w:val="16"/>
                <w:szCs w:val="20"/>
                <w:lang w:val="en-GB" w:eastAsia="en-US"/>
              </w:rPr>
            </w:pPr>
            <w:r w:rsidRPr="00DB452B">
              <w:rPr>
                <w:rFonts w:ascii="Arial" w:eastAsia="MS Mincho" w:hAnsi="Arial"/>
                <w:kern w:val="0"/>
                <w:sz w:val="16"/>
                <w:szCs w:val="20"/>
                <w:lang w:val="en-GB" w:eastAsia="en-US"/>
              </w:rPr>
              <w:t>n2</w:t>
            </w:r>
          </w:p>
        </w:tc>
        <w:tc>
          <w:tcPr>
            <w:tcW w:w="1942" w:type="dxa"/>
            <w:hideMark/>
          </w:tcPr>
          <w:p w14:paraId="39A4A8E0" w14:textId="77777777" w:rsidR="00DB452B" w:rsidRPr="00DB452B" w:rsidRDefault="00DB452B" w:rsidP="00DA76B8">
            <w:pPr>
              <w:keepNext/>
              <w:keepLines/>
              <w:widowControl/>
              <w:spacing w:after="0"/>
              <w:jc w:val="center"/>
              <w:rPr>
                <w:rFonts w:ascii="Arial" w:eastAsia="MS Mincho" w:hAnsi="Arial"/>
                <w:kern w:val="0"/>
                <w:sz w:val="16"/>
                <w:szCs w:val="20"/>
                <w:lang w:val="en-GB" w:eastAsia="en-US"/>
              </w:rPr>
            </w:pPr>
            <w:r w:rsidRPr="00DB452B">
              <w:rPr>
                <w:rFonts w:ascii="Arial" w:eastAsia="MS Mincho" w:hAnsi="Arial"/>
                <w:kern w:val="0"/>
                <w:sz w:val="16"/>
                <w:szCs w:val="20"/>
                <w:lang w:val="en-GB" w:eastAsia="en-US"/>
              </w:rPr>
              <w:t>1850 MHz – 1910 MHz</w:t>
            </w:r>
          </w:p>
        </w:tc>
        <w:tc>
          <w:tcPr>
            <w:tcW w:w="2129" w:type="dxa"/>
            <w:hideMark/>
          </w:tcPr>
          <w:p w14:paraId="7CEF6EF1" w14:textId="77777777" w:rsidR="00DB452B" w:rsidRPr="00DB452B" w:rsidRDefault="00DB452B" w:rsidP="00DA76B8">
            <w:pPr>
              <w:keepNext/>
              <w:keepLines/>
              <w:widowControl/>
              <w:spacing w:after="0"/>
              <w:jc w:val="center"/>
              <w:rPr>
                <w:rFonts w:ascii="Arial" w:eastAsia="MS Mincho" w:hAnsi="Arial"/>
                <w:kern w:val="0"/>
                <w:sz w:val="16"/>
                <w:szCs w:val="20"/>
                <w:lang w:val="en-GB" w:eastAsia="en-US"/>
              </w:rPr>
            </w:pPr>
            <w:r w:rsidRPr="00DB452B">
              <w:rPr>
                <w:rFonts w:ascii="Arial" w:eastAsia="MS Mincho" w:hAnsi="Arial"/>
                <w:kern w:val="0"/>
                <w:sz w:val="16"/>
                <w:szCs w:val="20"/>
                <w:lang w:val="en-GB" w:eastAsia="en-US"/>
              </w:rPr>
              <w:t>1930 MHz – 1990 MHz</w:t>
            </w:r>
          </w:p>
        </w:tc>
        <w:tc>
          <w:tcPr>
            <w:tcW w:w="942" w:type="dxa"/>
            <w:hideMark/>
          </w:tcPr>
          <w:p w14:paraId="087FFE07" w14:textId="77777777" w:rsidR="00DB452B" w:rsidRPr="00DB452B" w:rsidRDefault="00DB452B" w:rsidP="00DA76B8">
            <w:pPr>
              <w:keepNext/>
              <w:keepLines/>
              <w:widowControl/>
              <w:spacing w:after="0"/>
              <w:jc w:val="center"/>
              <w:rPr>
                <w:rFonts w:ascii="Arial" w:eastAsia="MS Mincho" w:hAnsi="Arial"/>
                <w:kern w:val="0"/>
                <w:sz w:val="16"/>
                <w:szCs w:val="20"/>
                <w:lang w:val="en-GB" w:eastAsia="en-US"/>
              </w:rPr>
            </w:pPr>
            <w:r w:rsidRPr="00DB452B">
              <w:rPr>
                <w:rFonts w:ascii="Arial" w:eastAsia="MS Mincho" w:hAnsi="Arial"/>
                <w:kern w:val="0"/>
                <w:sz w:val="16"/>
                <w:szCs w:val="20"/>
                <w:lang w:val="en-GB" w:eastAsia="en-US"/>
              </w:rPr>
              <w:t>FDD</w:t>
            </w:r>
          </w:p>
        </w:tc>
      </w:tr>
      <w:tr w:rsidR="00DB452B" w:rsidRPr="00DB452B" w14:paraId="4F5D37B1" w14:textId="77777777" w:rsidTr="00DA76B8">
        <w:trPr>
          <w:jc w:val="center"/>
        </w:trPr>
        <w:tc>
          <w:tcPr>
            <w:tcW w:w="1213" w:type="dxa"/>
            <w:vMerge/>
            <w:vAlign w:val="center"/>
          </w:tcPr>
          <w:p w14:paraId="273777FD" w14:textId="77777777" w:rsidR="00DB452B" w:rsidRPr="00DB452B" w:rsidRDefault="00DB452B" w:rsidP="00DA76B8">
            <w:pPr>
              <w:keepNext/>
              <w:keepLines/>
              <w:widowControl/>
              <w:spacing w:after="0"/>
              <w:jc w:val="center"/>
              <w:rPr>
                <w:rFonts w:ascii="Arial" w:eastAsia="MS Mincho" w:hAnsi="Arial"/>
                <w:kern w:val="0"/>
                <w:sz w:val="16"/>
                <w:szCs w:val="20"/>
                <w:lang w:val="en-GB" w:eastAsia="en-US"/>
              </w:rPr>
            </w:pPr>
          </w:p>
        </w:tc>
        <w:tc>
          <w:tcPr>
            <w:tcW w:w="851" w:type="dxa"/>
          </w:tcPr>
          <w:p w14:paraId="1602F576"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eastAsia="MS Mincho" w:hAnsi="Arial" w:cs="Arial"/>
                <w:kern w:val="0"/>
                <w:sz w:val="16"/>
                <w:szCs w:val="18"/>
                <w:lang w:val="en-GB" w:eastAsia="en-US"/>
              </w:rPr>
              <w:t>n25</w:t>
            </w:r>
          </w:p>
        </w:tc>
        <w:tc>
          <w:tcPr>
            <w:tcW w:w="1942" w:type="dxa"/>
          </w:tcPr>
          <w:p w14:paraId="0A8F6D76"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eastAsia="MS Mincho" w:hAnsi="Arial" w:cs="Arial"/>
                <w:kern w:val="0"/>
                <w:sz w:val="16"/>
                <w:szCs w:val="18"/>
                <w:lang w:val="en-GB" w:eastAsia="en-US"/>
              </w:rPr>
              <w:t>1850 MHz – 1915 MHz</w:t>
            </w:r>
          </w:p>
        </w:tc>
        <w:tc>
          <w:tcPr>
            <w:tcW w:w="2129" w:type="dxa"/>
          </w:tcPr>
          <w:p w14:paraId="3B67072F"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eastAsia="MS Mincho" w:hAnsi="Arial" w:cs="Arial"/>
                <w:kern w:val="0"/>
                <w:sz w:val="16"/>
                <w:szCs w:val="18"/>
                <w:lang w:val="en-GB" w:eastAsia="en-US"/>
              </w:rPr>
              <w:t>1930 MHz – 1995 MHz</w:t>
            </w:r>
          </w:p>
        </w:tc>
        <w:tc>
          <w:tcPr>
            <w:tcW w:w="942" w:type="dxa"/>
          </w:tcPr>
          <w:p w14:paraId="7A8B5C34"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eastAsia="MS Mincho" w:hAnsi="Arial" w:cs="Arial"/>
                <w:kern w:val="0"/>
                <w:sz w:val="16"/>
                <w:szCs w:val="18"/>
                <w:lang w:val="en-GB" w:eastAsia="en-US"/>
              </w:rPr>
              <w:t>FDD</w:t>
            </w:r>
          </w:p>
        </w:tc>
      </w:tr>
      <w:tr w:rsidR="00DB452B" w:rsidRPr="00DB452B" w14:paraId="777B979E" w14:textId="77777777" w:rsidTr="00DA76B8">
        <w:trPr>
          <w:jc w:val="center"/>
        </w:trPr>
        <w:tc>
          <w:tcPr>
            <w:tcW w:w="1213" w:type="dxa"/>
            <w:vMerge w:val="restart"/>
            <w:vAlign w:val="center"/>
          </w:tcPr>
          <w:p w14:paraId="462E646E" w14:textId="77777777" w:rsidR="00DB452B" w:rsidRPr="00DB452B" w:rsidRDefault="00DB452B" w:rsidP="00DA76B8">
            <w:pPr>
              <w:keepNext/>
              <w:keepLines/>
              <w:widowControl/>
              <w:spacing w:after="0"/>
              <w:jc w:val="center"/>
              <w:rPr>
                <w:rFonts w:ascii="Arial" w:eastAsia="MS Mincho" w:hAnsi="Arial"/>
                <w:kern w:val="0"/>
                <w:sz w:val="16"/>
                <w:szCs w:val="20"/>
                <w:lang w:val="en-GB" w:eastAsia="en-US"/>
              </w:rPr>
            </w:pPr>
            <w:r w:rsidRPr="00DB452B">
              <w:rPr>
                <w:rFonts w:ascii="Arial" w:eastAsia="MS Mincho" w:hAnsi="Arial"/>
                <w:kern w:val="0"/>
                <w:sz w:val="16"/>
                <w:szCs w:val="20"/>
                <w:lang w:val="en-GB" w:eastAsia="en-US"/>
              </w:rPr>
              <w:t>Group 2</w:t>
            </w:r>
          </w:p>
        </w:tc>
        <w:tc>
          <w:tcPr>
            <w:tcW w:w="851" w:type="dxa"/>
          </w:tcPr>
          <w:p w14:paraId="7CCFB5B6"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n91</w:t>
            </w:r>
          </w:p>
        </w:tc>
        <w:tc>
          <w:tcPr>
            <w:tcW w:w="1942" w:type="dxa"/>
          </w:tcPr>
          <w:p w14:paraId="477AFA95"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832 MHz – 862 MHz</w:t>
            </w:r>
          </w:p>
        </w:tc>
        <w:tc>
          <w:tcPr>
            <w:tcW w:w="2129" w:type="dxa"/>
          </w:tcPr>
          <w:p w14:paraId="53EBFC85"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1427 MHz – 1432 MHz</w:t>
            </w:r>
          </w:p>
        </w:tc>
        <w:tc>
          <w:tcPr>
            <w:tcW w:w="942" w:type="dxa"/>
          </w:tcPr>
          <w:p w14:paraId="1F4364B8"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FDD</w:t>
            </w:r>
          </w:p>
        </w:tc>
      </w:tr>
      <w:tr w:rsidR="00DB452B" w:rsidRPr="00DB452B" w14:paraId="0738636F" w14:textId="77777777" w:rsidTr="00DA76B8">
        <w:trPr>
          <w:jc w:val="center"/>
        </w:trPr>
        <w:tc>
          <w:tcPr>
            <w:tcW w:w="1213" w:type="dxa"/>
            <w:vMerge/>
            <w:vAlign w:val="center"/>
          </w:tcPr>
          <w:p w14:paraId="5B74921E" w14:textId="77777777" w:rsidR="00DB452B" w:rsidRPr="00DB452B" w:rsidRDefault="00DB452B" w:rsidP="00DA76B8">
            <w:pPr>
              <w:keepNext/>
              <w:keepLines/>
              <w:widowControl/>
              <w:spacing w:after="0"/>
              <w:jc w:val="center"/>
              <w:rPr>
                <w:rFonts w:ascii="Arial" w:eastAsia="MS Mincho" w:hAnsi="Arial"/>
                <w:kern w:val="0"/>
                <w:sz w:val="16"/>
                <w:szCs w:val="20"/>
                <w:lang w:val="en-GB" w:eastAsia="en-US"/>
              </w:rPr>
            </w:pPr>
          </w:p>
        </w:tc>
        <w:tc>
          <w:tcPr>
            <w:tcW w:w="851" w:type="dxa"/>
          </w:tcPr>
          <w:p w14:paraId="22165D58"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n92</w:t>
            </w:r>
          </w:p>
        </w:tc>
        <w:tc>
          <w:tcPr>
            <w:tcW w:w="1942" w:type="dxa"/>
          </w:tcPr>
          <w:p w14:paraId="4F07C7A5"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832 MHz – 862 MHz</w:t>
            </w:r>
          </w:p>
        </w:tc>
        <w:tc>
          <w:tcPr>
            <w:tcW w:w="2129" w:type="dxa"/>
          </w:tcPr>
          <w:p w14:paraId="7882D423"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1432 MHz – 1517 MHz</w:t>
            </w:r>
          </w:p>
        </w:tc>
        <w:tc>
          <w:tcPr>
            <w:tcW w:w="942" w:type="dxa"/>
          </w:tcPr>
          <w:p w14:paraId="4E1142B1"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FDD</w:t>
            </w:r>
          </w:p>
        </w:tc>
      </w:tr>
      <w:tr w:rsidR="00DB452B" w:rsidRPr="00DB452B" w14:paraId="4C5228EA" w14:textId="77777777" w:rsidTr="00DA76B8">
        <w:trPr>
          <w:jc w:val="center"/>
        </w:trPr>
        <w:tc>
          <w:tcPr>
            <w:tcW w:w="1213" w:type="dxa"/>
            <w:vMerge w:val="restart"/>
            <w:vAlign w:val="center"/>
          </w:tcPr>
          <w:p w14:paraId="194B58B7" w14:textId="77777777" w:rsidR="00DB452B" w:rsidRPr="00DB452B" w:rsidRDefault="00DB452B" w:rsidP="00DA76B8">
            <w:pPr>
              <w:keepNext/>
              <w:keepLines/>
              <w:widowControl/>
              <w:spacing w:after="0"/>
              <w:jc w:val="center"/>
              <w:rPr>
                <w:rFonts w:ascii="Arial" w:eastAsia="MS Mincho" w:hAnsi="Arial"/>
                <w:kern w:val="0"/>
                <w:sz w:val="16"/>
                <w:szCs w:val="20"/>
                <w:lang w:val="en-GB" w:eastAsia="en-US"/>
              </w:rPr>
            </w:pPr>
            <w:r w:rsidRPr="00DB452B">
              <w:rPr>
                <w:rFonts w:ascii="Arial" w:eastAsia="MS Mincho" w:hAnsi="Arial"/>
                <w:kern w:val="0"/>
                <w:sz w:val="16"/>
                <w:szCs w:val="20"/>
                <w:lang w:val="en-GB" w:eastAsia="en-US"/>
              </w:rPr>
              <w:t>Group 3</w:t>
            </w:r>
          </w:p>
        </w:tc>
        <w:tc>
          <w:tcPr>
            <w:tcW w:w="851" w:type="dxa"/>
          </w:tcPr>
          <w:p w14:paraId="7A973194"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n93</w:t>
            </w:r>
          </w:p>
        </w:tc>
        <w:tc>
          <w:tcPr>
            <w:tcW w:w="1942" w:type="dxa"/>
          </w:tcPr>
          <w:p w14:paraId="1555F773"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880 MHz – 915 MHz</w:t>
            </w:r>
          </w:p>
        </w:tc>
        <w:tc>
          <w:tcPr>
            <w:tcW w:w="2129" w:type="dxa"/>
          </w:tcPr>
          <w:p w14:paraId="1E02B3D9"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1427 MHz – 1432 MHz</w:t>
            </w:r>
          </w:p>
        </w:tc>
        <w:tc>
          <w:tcPr>
            <w:tcW w:w="942" w:type="dxa"/>
          </w:tcPr>
          <w:p w14:paraId="68BA40BB"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FDD</w:t>
            </w:r>
          </w:p>
        </w:tc>
      </w:tr>
      <w:tr w:rsidR="00DB452B" w:rsidRPr="00DB452B" w14:paraId="4B6A956D" w14:textId="77777777" w:rsidTr="00DA76B8">
        <w:trPr>
          <w:jc w:val="center"/>
        </w:trPr>
        <w:tc>
          <w:tcPr>
            <w:tcW w:w="1213" w:type="dxa"/>
            <w:vMerge/>
          </w:tcPr>
          <w:p w14:paraId="06F870D4" w14:textId="77777777" w:rsidR="00DB452B" w:rsidRPr="00DB452B" w:rsidRDefault="00DB452B" w:rsidP="00DA76B8">
            <w:pPr>
              <w:keepNext/>
              <w:keepLines/>
              <w:widowControl/>
              <w:spacing w:after="0"/>
              <w:jc w:val="center"/>
              <w:rPr>
                <w:rFonts w:ascii="Arial" w:eastAsia="MS Mincho" w:hAnsi="Arial"/>
                <w:kern w:val="0"/>
                <w:sz w:val="16"/>
                <w:szCs w:val="20"/>
                <w:lang w:val="en-GB" w:eastAsia="en-US"/>
              </w:rPr>
            </w:pPr>
          </w:p>
        </w:tc>
        <w:tc>
          <w:tcPr>
            <w:tcW w:w="851" w:type="dxa"/>
          </w:tcPr>
          <w:p w14:paraId="040D2400"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n94</w:t>
            </w:r>
          </w:p>
        </w:tc>
        <w:tc>
          <w:tcPr>
            <w:tcW w:w="1942" w:type="dxa"/>
          </w:tcPr>
          <w:p w14:paraId="072AC335"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880 MHz – 915 MHz</w:t>
            </w:r>
          </w:p>
        </w:tc>
        <w:tc>
          <w:tcPr>
            <w:tcW w:w="2129" w:type="dxa"/>
          </w:tcPr>
          <w:p w14:paraId="0E8F8C5E"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1432 MHz – 1517 MHz</w:t>
            </w:r>
          </w:p>
        </w:tc>
        <w:tc>
          <w:tcPr>
            <w:tcW w:w="942" w:type="dxa"/>
          </w:tcPr>
          <w:p w14:paraId="3408A9E5"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FDD</w:t>
            </w:r>
          </w:p>
        </w:tc>
      </w:tr>
      <w:tr w:rsidR="00DB452B" w:rsidRPr="00DB452B" w14:paraId="703FA425" w14:textId="77777777" w:rsidTr="00DA76B8">
        <w:trPr>
          <w:jc w:val="center"/>
        </w:trPr>
        <w:tc>
          <w:tcPr>
            <w:tcW w:w="1213" w:type="dxa"/>
            <w:vMerge w:val="restart"/>
            <w:vAlign w:val="center"/>
          </w:tcPr>
          <w:p w14:paraId="52F34B44" w14:textId="77777777" w:rsidR="00DB452B" w:rsidRPr="00DB452B" w:rsidRDefault="00DB452B" w:rsidP="00DA76B8">
            <w:pPr>
              <w:keepNext/>
              <w:keepLines/>
              <w:widowControl/>
              <w:spacing w:after="0"/>
              <w:jc w:val="center"/>
              <w:rPr>
                <w:rFonts w:ascii="Arial" w:eastAsia="MS Mincho" w:hAnsi="Arial"/>
                <w:kern w:val="0"/>
                <w:sz w:val="16"/>
                <w:szCs w:val="20"/>
                <w:lang w:val="en-GB" w:eastAsia="en-US"/>
              </w:rPr>
            </w:pPr>
            <w:r w:rsidRPr="00DB452B">
              <w:rPr>
                <w:rFonts w:ascii="Arial" w:eastAsia="MS Mincho" w:hAnsi="Arial"/>
                <w:kern w:val="0"/>
                <w:sz w:val="16"/>
                <w:szCs w:val="20"/>
                <w:lang w:val="en-GB" w:eastAsia="en-US"/>
              </w:rPr>
              <w:t>Group 4</w:t>
            </w:r>
          </w:p>
        </w:tc>
        <w:tc>
          <w:tcPr>
            <w:tcW w:w="851" w:type="dxa"/>
            <w:hideMark/>
          </w:tcPr>
          <w:p w14:paraId="5A9B5348"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eastAsia="MS Mincho" w:hAnsi="Arial" w:cs="Arial"/>
                <w:kern w:val="0"/>
                <w:sz w:val="16"/>
                <w:szCs w:val="18"/>
                <w:lang w:val="en-GB" w:eastAsia="en-US"/>
              </w:rPr>
              <w:t>n38</w:t>
            </w:r>
          </w:p>
        </w:tc>
        <w:tc>
          <w:tcPr>
            <w:tcW w:w="1942" w:type="dxa"/>
            <w:tcBorders>
              <w:top w:val="single" w:sz="4" w:space="0" w:color="auto"/>
              <w:left w:val="single" w:sz="4" w:space="0" w:color="auto"/>
              <w:bottom w:val="single" w:sz="4" w:space="0" w:color="auto"/>
              <w:right w:val="single" w:sz="4" w:space="0" w:color="auto"/>
            </w:tcBorders>
            <w:hideMark/>
          </w:tcPr>
          <w:p w14:paraId="13D6DA5C"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2570 MHz – 2620 MHz</w:t>
            </w:r>
          </w:p>
        </w:tc>
        <w:tc>
          <w:tcPr>
            <w:tcW w:w="2129" w:type="dxa"/>
            <w:tcBorders>
              <w:top w:val="single" w:sz="4" w:space="0" w:color="auto"/>
              <w:left w:val="single" w:sz="4" w:space="0" w:color="auto"/>
              <w:bottom w:val="single" w:sz="4" w:space="0" w:color="auto"/>
              <w:right w:val="single" w:sz="4" w:space="0" w:color="auto"/>
            </w:tcBorders>
            <w:hideMark/>
          </w:tcPr>
          <w:p w14:paraId="3483AFCC"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2570 MHz – 2620 MHz</w:t>
            </w:r>
          </w:p>
        </w:tc>
        <w:tc>
          <w:tcPr>
            <w:tcW w:w="942" w:type="dxa"/>
            <w:tcBorders>
              <w:top w:val="single" w:sz="4" w:space="0" w:color="auto"/>
              <w:left w:val="single" w:sz="4" w:space="0" w:color="auto"/>
              <w:bottom w:val="nil"/>
              <w:right w:val="single" w:sz="4" w:space="0" w:color="auto"/>
            </w:tcBorders>
            <w:hideMark/>
          </w:tcPr>
          <w:p w14:paraId="3AFBFDAD"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TDD</w:t>
            </w:r>
          </w:p>
        </w:tc>
      </w:tr>
      <w:tr w:rsidR="00DB452B" w:rsidRPr="00DB452B" w14:paraId="5CBE98A5" w14:textId="77777777" w:rsidTr="00DA76B8">
        <w:trPr>
          <w:jc w:val="center"/>
        </w:trPr>
        <w:tc>
          <w:tcPr>
            <w:tcW w:w="1213" w:type="dxa"/>
            <w:vMerge/>
          </w:tcPr>
          <w:p w14:paraId="54891886" w14:textId="77777777" w:rsidR="00DB452B" w:rsidRPr="00DB452B" w:rsidRDefault="00DB452B" w:rsidP="00DA76B8">
            <w:pPr>
              <w:keepNext/>
              <w:keepLines/>
              <w:widowControl/>
              <w:spacing w:after="0"/>
              <w:jc w:val="center"/>
              <w:rPr>
                <w:rFonts w:ascii="Arial" w:eastAsia="MS Mincho" w:hAnsi="Arial"/>
                <w:kern w:val="0"/>
                <w:sz w:val="16"/>
                <w:szCs w:val="20"/>
                <w:lang w:val="en-GB" w:eastAsia="en-US"/>
              </w:rPr>
            </w:pPr>
          </w:p>
        </w:tc>
        <w:tc>
          <w:tcPr>
            <w:tcW w:w="851" w:type="dxa"/>
          </w:tcPr>
          <w:p w14:paraId="2A7EBAE7"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n41</w:t>
            </w:r>
          </w:p>
        </w:tc>
        <w:tc>
          <w:tcPr>
            <w:tcW w:w="1942" w:type="dxa"/>
          </w:tcPr>
          <w:p w14:paraId="5AD4EACF"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2496 MHz – 2690 MHz</w:t>
            </w:r>
          </w:p>
        </w:tc>
        <w:tc>
          <w:tcPr>
            <w:tcW w:w="2129" w:type="dxa"/>
          </w:tcPr>
          <w:p w14:paraId="3540FE90"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2496 MHz – 2690 MHz</w:t>
            </w:r>
          </w:p>
        </w:tc>
        <w:tc>
          <w:tcPr>
            <w:tcW w:w="942" w:type="dxa"/>
          </w:tcPr>
          <w:p w14:paraId="19729B5A"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TDD</w:t>
            </w:r>
          </w:p>
        </w:tc>
      </w:tr>
      <w:tr w:rsidR="00DB452B" w:rsidRPr="00DB452B" w14:paraId="1B2C680F" w14:textId="77777777" w:rsidTr="00DA76B8">
        <w:trPr>
          <w:jc w:val="center"/>
        </w:trPr>
        <w:tc>
          <w:tcPr>
            <w:tcW w:w="1213" w:type="dxa"/>
            <w:vMerge w:val="restart"/>
            <w:vAlign w:val="center"/>
          </w:tcPr>
          <w:p w14:paraId="16F2E0B0" w14:textId="77777777" w:rsidR="00DB452B" w:rsidRPr="00DB452B" w:rsidRDefault="00DB452B" w:rsidP="00DA76B8">
            <w:pPr>
              <w:keepNext/>
              <w:keepLines/>
              <w:widowControl/>
              <w:spacing w:after="0"/>
              <w:jc w:val="center"/>
              <w:rPr>
                <w:rFonts w:ascii="Arial" w:eastAsia="MS Mincho" w:hAnsi="Arial"/>
                <w:kern w:val="0"/>
                <w:sz w:val="16"/>
                <w:szCs w:val="20"/>
                <w:lang w:val="en-GB" w:eastAsia="en-US"/>
              </w:rPr>
            </w:pPr>
            <w:r w:rsidRPr="00DB452B">
              <w:rPr>
                <w:rFonts w:ascii="Arial" w:eastAsia="MS Mincho" w:hAnsi="Arial"/>
                <w:kern w:val="0"/>
                <w:sz w:val="16"/>
                <w:szCs w:val="20"/>
                <w:lang w:val="en-GB" w:eastAsia="en-US"/>
              </w:rPr>
              <w:t>Group 5</w:t>
            </w:r>
          </w:p>
        </w:tc>
        <w:tc>
          <w:tcPr>
            <w:tcW w:w="851" w:type="dxa"/>
          </w:tcPr>
          <w:p w14:paraId="7EA2853E"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eastAsia="MS Mincho" w:hAnsi="Arial" w:cs="Arial"/>
                <w:kern w:val="0"/>
                <w:sz w:val="16"/>
                <w:szCs w:val="18"/>
                <w:lang w:val="en-GB" w:eastAsia="en-US"/>
              </w:rPr>
              <w:t>n77</w:t>
            </w:r>
          </w:p>
        </w:tc>
        <w:tc>
          <w:tcPr>
            <w:tcW w:w="1942" w:type="dxa"/>
          </w:tcPr>
          <w:p w14:paraId="3BDE9C67"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3300 MHz – 4200 MHz</w:t>
            </w:r>
          </w:p>
        </w:tc>
        <w:tc>
          <w:tcPr>
            <w:tcW w:w="2129" w:type="dxa"/>
          </w:tcPr>
          <w:p w14:paraId="6622DF14"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3300 MHz – 4200 MHz</w:t>
            </w:r>
          </w:p>
        </w:tc>
        <w:tc>
          <w:tcPr>
            <w:tcW w:w="942" w:type="dxa"/>
          </w:tcPr>
          <w:p w14:paraId="62D4DCED"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eastAsia="MS Mincho" w:hAnsi="Arial" w:cs="Arial"/>
                <w:kern w:val="0"/>
                <w:sz w:val="16"/>
                <w:szCs w:val="18"/>
                <w:lang w:val="en-GB" w:eastAsia="en-US"/>
              </w:rPr>
              <w:t>TDD</w:t>
            </w:r>
          </w:p>
        </w:tc>
      </w:tr>
      <w:tr w:rsidR="00DB452B" w:rsidRPr="00DB452B" w14:paraId="3F7EFEC6" w14:textId="77777777" w:rsidTr="00DA76B8">
        <w:trPr>
          <w:jc w:val="center"/>
        </w:trPr>
        <w:tc>
          <w:tcPr>
            <w:tcW w:w="1213" w:type="dxa"/>
            <w:vMerge/>
            <w:vAlign w:val="center"/>
          </w:tcPr>
          <w:p w14:paraId="11A0D9E0" w14:textId="77777777" w:rsidR="00DB452B" w:rsidRPr="00DB452B" w:rsidRDefault="00DB452B" w:rsidP="00DA76B8">
            <w:pPr>
              <w:keepNext/>
              <w:keepLines/>
              <w:widowControl/>
              <w:spacing w:after="0"/>
              <w:jc w:val="center"/>
              <w:rPr>
                <w:rFonts w:ascii="Arial" w:eastAsia="MS Mincho" w:hAnsi="Arial"/>
                <w:kern w:val="0"/>
                <w:sz w:val="16"/>
                <w:szCs w:val="20"/>
                <w:lang w:val="en-GB" w:eastAsia="en-US"/>
              </w:rPr>
            </w:pPr>
          </w:p>
        </w:tc>
        <w:tc>
          <w:tcPr>
            <w:tcW w:w="851" w:type="dxa"/>
          </w:tcPr>
          <w:p w14:paraId="62D3125B"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eastAsia="MS Mincho" w:hAnsi="Arial" w:cs="Arial"/>
                <w:kern w:val="0"/>
                <w:sz w:val="16"/>
                <w:szCs w:val="18"/>
                <w:lang w:val="en-GB" w:eastAsia="en-US"/>
              </w:rPr>
              <w:t>n78</w:t>
            </w:r>
          </w:p>
        </w:tc>
        <w:tc>
          <w:tcPr>
            <w:tcW w:w="1942" w:type="dxa"/>
          </w:tcPr>
          <w:p w14:paraId="56741ECC"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3300 MHz – 3800 MHz</w:t>
            </w:r>
          </w:p>
        </w:tc>
        <w:tc>
          <w:tcPr>
            <w:tcW w:w="2129" w:type="dxa"/>
          </w:tcPr>
          <w:p w14:paraId="3FCE6DF9"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hAnsi="Arial" w:cs="Arial"/>
                <w:sz w:val="16"/>
                <w:szCs w:val="18"/>
              </w:rPr>
              <w:t>3300 MHz – 3800 MHz</w:t>
            </w:r>
          </w:p>
        </w:tc>
        <w:tc>
          <w:tcPr>
            <w:tcW w:w="942" w:type="dxa"/>
          </w:tcPr>
          <w:p w14:paraId="6D5DB894" w14:textId="77777777" w:rsidR="00DB452B" w:rsidRPr="00DB452B" w:rsidRDefault="00DB452B" w:rsidP="00DA76B8">
            <w:pPr>
              <w:keepNext/>
              <w:keepLines/>
              <w:widowControl/>
              <w:spacing w:after="0"/>
              <w:jc w:val="center"/>
              <w:rPr>
                <w:rFonts w:ascii="Arial" w:eastAsia="MS Mincho" w:hAnsi="Arial" w:cs="Arial"/>
                <w:kern w:val="0"/>
                <w:sz w:val="16"/>
                <w:szCs w:val="18"/>
                <w:lang w:val="en-GB" w:eastAsia="en-US"/>
              </w:rPr>
            </w:pPr>
            <w:r w:rsidRPr="00DB452B">
              <w:rPr>
                <w:rFonts w:ascii="Arial" w:eastAsia="MS Mincho" w:hAnsi="Arial" w:cs="Arial"/>
                <w:kern w:val="0"/>
                <w:sz w:val="16"/>
                <w:szCs w:val="18"/>
                <w:lang w:val="en-GB" w:eastAsia="en-US"/>
              </w:rPr>
              <w:t>TDD</w:t>
            </w:r>
          </w:p>
        </w:tc>
      </w:tr>
    </w:tbl>
    <w:p w14:paraId="6D02AC80" w14:textId="77777777" w:rsidR="00AA0E96" w:rsidRDefault="00DB452B" w:rsidP="009D46B4">
      <w:r>
        <w:t>Take “Group 1: n2+n25” as an example, for inter-ban</w:t>
      </w:r>
      <w:r w:rsidR="00AA0E96">
        <w:t>d CA band combination</w:t>
      </w:r>
      <w:r>
        <w:t>, according to Table 5.5A.3.1-1, Table 5.5A.3.2-1 and Table 5.5A.3.3-1 in TS 38.101-1, RAN4 has defined dozens of BCs that including n2 or n25. However, non of them includ</w:t>
      </w:r>
      <w:r w:rsidR="00AA0E96">
        <w:t>es</w:t>
      </w:r>
      <w:r>
        <w:t xml:space="preserve"> both n2 and n25</w:t>
      </w:r>
      <w:r w:rsidR="00AA0E96">
        <w:t xml:space="preserve"> simultaneously</w:t>
      </w:r>
      <w:r>
        <w:t xml:space="preserve">. This implies that, </w:t>
      </w:r>
      <w:r w:rsidR="00AA0E96">
        <w:t>one</w:t>
      </w:r>
      <w:r>
        <w:t xml:space="preserve"> </w:t>
      </w:r>
      <w:r w:rsidR="00AA0E96">
        <w:t xml:space="preserve">band combination can implicitly indicate the band from a given overlapping band group. </w:t>
      </w:r>
    </w:p>
    <w:p w14:paraId="2A4817F8" w14:textId="3C809861" w:rsidR="00AA0E96" w:rsidRDefault="00AA0E96" w:rsidP="009D46B4">
      <w:r>
        <w:t>For instance: a UE reports the following supported</w:t>
      </w:r>
      <w:r w:rsidR="005B5A91">
        <w:t xml:space="preserve"> </w:t>
      </w:r>
      <w:r>
        <w:t>Band</w:t>
      </w:r>
      <w:r w:rsidR="005B5A91">
        <w:t xml:space="preserve"> </w:t>
      </w:r>
      <w:r>
        <w:t>Combination</w:t>
      </w:r>
      <w:r w:rsidR="005B5A91">
        <w:t xml:space="preserve"> </w:t>
      </w:r>
      <w:r>
        <w:t>List:</w:t>
      </w:r>
    </w:p>
    <w:p w14:paraId="4799F329" w14:textId="74AA8241" w:rsidR="005B5A91" w:rsidRDefault="005B5A91" w:rsidP="005B5A91">
      <w:pPr>
        <w:pStyle w:val="afffffff3"/>
        <w:numPr>
          <w:ilvl w:val="0"/>
          <w:numId w:val="29"/>
        </w:numPr>
      </w:pPr>
      <w:r>
        <w:t>Index =0, CA_</w:t>
      </w:r>
      <w:r w:rsidRPr="005B5A91">
        <w:rPr>
          <w:color w:val="FF0000"/>
        </w:rPr>
        <w:t>n2A</w:t>
      </w:r>
      <w:r>
        <w:t>_n77A</w:t>
      </w:r>
    </w:p>
    <w:p w14:paraId="7812377E" w14:textId="4B70E905" w:rsidR="005B5A91" w:rsidRDefault="005B5A91" w:rsidP="005B5A91">
      <w:pPr>
        <w:pStyle w:val="afffffff3"/>
        <w:numPr>
          <w:ilvl w:val="0"/>
          <w:numId w:val="29"/>
        </w:numPr>
      </w:pPr>
      <w:r>
        <w:t>Index =1, CA_</w:t>
      </w:r>
      <w:r w:rsidRPr="005B5A91">
        <w:rPr>
          <w:color w:val="FF0000"/>
        </w:rPr>
        <w:t>n2A</w:t>
      </w:r>
      <w:r>
        <w:t>_n78A;</w:t>
      </w:r>
    </w:p>
    <w:p w14:paraId="2A36135C" w14:textId="611CB45A" w:rsidR="00AA0E96" w:rsidRDefault="00AA0E96" w:rsidP="00AA0E96">
      <w:pPr>
        <w:pStyle w:val="afffffff3"/>
        <w:numPr>
          <w:ilvl w:val="0"/>
          <w:numId w:val="29"/>
        </w:numPr>
      </w:pPr>
      <w:r>
        <w:t>Index =</w:t>
      </w:r>
      <w:r w:rsidR="005B5A91">
        <w:t>2</w:t>
      </w:r>
      <w:r>
        <w:rPr>
          <w:rFonts w:hint="eastAsia"/>
          <w:lang w:eastAsia="zh-CN"/>
        </w:rPr>
        <w:t>,</w:t>
      </w:r>
      <w:r>
        <w:rPr>
          <w:lang w:eastAsia="zh-CN"/>
        </w:rPr>
        <w:t xml:space="preserve"> CA_</w:t>
      </w:r>
      <w:r w:rsidRPr="00381786">
        <w:rPr>
          <w:color w:val="0070C0"/>
          <w:lang w:eastAsia="zh-CN"/>
        </w:rPr>
        <w:t>n25A</w:t>
      </w:r>
      <w:r>
        <w:rPr>
          <w:lang w:eastAsia="zh-CN"/>
        </w:rPr>
        <w:t>_n66A_n78A;</w:t>
      </w:r>
    </w:p>
    <w:p w14:paraId="3101014D" w14:textId="18CFCC59" w:rsidR="00AA0E96" w:rsidRDefault="00AA0E96" w:rsidP="00AA0E96">
      <w:pPr>
        <w:pStyle w:val="afffffff3"/>
        <w:numPr>
          <w:ilvl w:val="0"/>
          <w:numId w:val="29"/>
        </w:numPr>
      </w:pPr>
      <w:r>
        <w:rPr>
          <w:lang w:eastAsia="zh-CN"/>
        </w:rPr>
        <w:t>Index =</w:t>
      </w:r>
      <w:r w:rsidR="005B5A91">
        <w:rPr>
          <w:lang w:eastAsia="zh-CN"/>
        </w:rPr>
        <w:t>3</w:t>
      </w:r>
      <w:r>
        <w:rPr>
          <w:lang w:eastAsia="zh-CN"/>
        </w:rPr>
        <w:t>, CA_</w:t>
      </w:r>
      <w:r w:rsidRPr="00381786">
        <w:rPr>
          <w:color w:val="0070C0"/>
          <w:lang w:eastAsia="zh-CN"/>
        </w:rPr>
        <w:t>n25A</w:t>
      </w:r>
      <w:r>
        <w:rPr>
          <w:lang w:eastAsia="zh-CN"/>
        </w:rPr>
        <w:t>_n66A_n71A;</w:t>
      </w:r>
    </w:p>
    <w:p w14:paraId="2419E950" w14:textId="7B977D08" w:rsidR="00DB452B" w:rsidRDefault="005B5A91" w:rsidP="009D46B4">
      <w:r>
        <w:t xml:space="preserve">During initial access, the NW determines the UE has selected band n2 as serving band (UE supports both n2 and n25, </w:t>
      </w:r>
      <w:r>
        <w:lastRenderedPageBreak/>
        <w:t xml:space="preserve">and n2 is the first band listed in SIB1). Then if DU decides to change it to n25, the DU can feedback BandCombinationIndex equals to 2 or 3. By receiving the </w:t>
      </w:r>
      <w:r w:rsidR="009D46B4">
        <w:t>field, CU can know the served band has been changed because the original served band (n2) does not fit those BC. And CU can know the served band is changed into n25 because CU knows n2 and n25 are overlapping bands.</w:t>
      </w:r>
      <w:r w:rsidR="00DB452B">
        <w:t xml:space="preserve"> </w:t>
      </w:r>
    </w:p>
    <w:p w14:paraId="3015A868" w14:textId="02A7F633" w:rsidR="00CC74C1" w:rsidRDefault="00CC74C1" w:rsidP="009D46B4">
      <w:r>
        <w:t>Note that the indicated band combination may be a superset of current configuration (e.g. UE reports Index 2, but UE is not configured with CA). But we see no problem of this, bec</w:t>
      </w:r>
      <w:r w:rsidR="00DA76B8">
        <w:t xml:space="preserve">ause </w:t>
      </w:r>
      <w:r>
        <w:t xml:space="preserve">CU knows the number of configured serving cells and </w:t>
      </w:r>
      <w:r w:rsidR="00DA76B8">
        <w:t xml:space="preserve">serving </w:t>
      </w:r>
      <w:r>
        <w:t>frequencies</w:t>
      </w:r>
      <w:r w:rsidR="00DA76B8">
        <w:t xml:space="preserve"> (in MHz), thus it can derive the information it cares.</w:t>
      </w:r>
      <w:r>
        <w:t xml:space="preserve">  </w:t>
      </w:r>
    </w:p>
    <w:p w14:paraId="1846C74C" w14:textId="48C1F6BC" w:rsidR="00DA76B8" w:rsidRPr="00C214B3" w:rsidRDefault="00DA76B8" w:rsidP="00C214B3">
      <w:pPr>
        <w:ind w:left="1276" w:hanging="1276"/>
        <w:rPr>
          <w:b/>
        </w:rPr>
      </w:pPr>
      <w:r>
        <w:rPr>
          <w:b/>
        </w:rPr>
        <w:t>Observation</w:t>
      </w:r>
      <w:r>
        <w:rPr>
          <w:rFonts w:hint="eastAsia"/>
          <w:b/>
        </w:rPr>
        <w:t xml:space="preserve"> </w:t>
      </w:r>
      <w:r w:rsidR="00C214B3">
        <w:rPr>
          <w:b/>
        </w:rPr>
        <w:t>7</w:t>
      </w:r>
      <w:r>
        <w:rPr>
          <w:rFonts w:hint="eastAsia"/>
          <w:b/>
        </w:rPr>
        <w:t xml:space="preserve">:  </w:t>
      </w:r>
      <w:r>
        <w:rPr>
          <w:b/>
        </w:rPr>
        <w:t>From RAN2 point of view,</w:t>
      </w:r>
      <w:r w:rsidR="00523370">
        <w:rPr>
          <w:b/>
        </w:rPr>
        <w:t xml:space="preserve"> </w:t>
      </w:r>
      <w:r>
        <w:rPr>
          <w:b/>
        </w:rPr>
        <w:t>it is feasible to derive the served band infor</w:t>
      </w:r>
      <w:r w:rsidR="00C214B3">
        <w:rPr>
          <w:b/>
        </w:rPr>
        <w:t>mation via BandCombinationIndex</w:t>
      </w:r>
      <w:r>
        <w:rPr>
          <w:b/>
        </w:rPr>
        <w:t xml:space="preserve">. </w:t>
      </w:r>
    </w:p>
    <w:p w14:paraId="74566202" w14:textId="02441258" w:rsidR="00C214B3" w:rsidRPr="00C214B3" w:rsidRDefault="009D46B4" w:rsidP="00C214B3">
      <w:r>
        <w:t>Some</w:t>
      </w:r>
      <w:r w:rsidR="006F55EB">
        <w:t xml:space="preserve"> company</w:t>
      </w:r>
      <w:r>
        <w:t xml:space="preserve"> may argue there is one exceptional ca</w:t>
      </w:r>
      <w:r w:rsidR="00CA4CAF">
        <w:t>se</w:t>
      </w:r>
      <w:r w:rsidR="00A040ED">
        <w:rPr>
          <w:rFonts w:hint="eastAsia"/>
        </w:rPr>
        <w:t>:</w:t>
      </w:r>
      <w:r>
        <w:t xml:space="preserve"> </w:t>
      </w:r>
      <w:r w:rsidR="007A5503">
        <w:t>“</w:t>
      </w:r>
      <w:r w:rsidR="00BC214D">
        <w:t>Group</w:t>
      </w:r>
      <w:r w:rsidR="007A5503">
        <w:t>5</w:t>
      </w:r>
      <w:r w:rsidR="00BC214D">
        <w:t>:</w:t>
      </w:r>
      <w:r w:rsidR="007A5503">
        <w:t xml:space="preserve"> n77+n78”, </w:t>
      </w:r>
      <w:r w:rsidR="00BC214D">
        <w:t xml:space="preserve">that </w:t>
      </w:r>
      <w:r w:rsidR="007A5503">
        <w:t xml:space="preserve">RAN4 </w:t>
      </w:r>
      <w:r w:rsidR="00A040ED">
        <w:t>defines</w:t>
      </w:r>
      <w:r w:rsidR="007A5503">
        <w:t xml:space="preserve"> band combination “</w:t>
      </w:r>
      <w:r w:rsidR="007A5503">
        <w:rPr>
          <w:rFonts w:hint="eastAsia"/>
        </w:rPr>
        <w:t>CA</w:t>
      </w:r>
      <w:r w:rsidR="007A5503">
        <w:t>_n77A-n78A”</w:t>
      </w:r>
      <w:r w:rsidR="007A5503">
        <w:rPr>
          <w:rFonts w:hint="eastAsia"/>
        </w:rPr>
        <w:t>.</w:t>
      </w:r>
      <w:r w:rsidR="007A5503">
        <w:t xml:space="preserve"> </w:t>
      </w:r>
      <w:r w:rsidR="00FA463D">
        <w:t>However,</w:t>
      </w:r>
      <w:r w:rsidR="00CA4CAF">
        <w:t xml:space="preserve"> </w:t>
      </w:r>
      <w:r w:rsidR="007A5503">
        <w:rPr>
          <w:rFonts w:hint="eastAsia"/>
        </w:rPr>
        <w:t>a</w:t>
      </w:r>
      <w:r w:rsidR="00DD7C9D">
        <w:t>fter checking the discussion history</w:t>
      </w:r>
      <w:r w:rsidR="00FC0EF3">
        <w:t xml:space="preserve"> </w:t>
      </w:r>
      <w:r w:rsidR="00DD7C9D">
        <w:t>in RAN4</w:t>
      </w:r>
      <w:r w:rsidR="007E2543">
        <w:t xml:space="preserve">[2] </w:t>
      </w:r>
      <w:r w:rsidR="00CA4CAF">
        <w:t>, the</w:t>
      </w:r>
      <w:r w:rsidR="00DD7C9D">
        <w:t xml:space="preserve"> inten</w:t>
      </w:r>
      <w:r w:rsidR="00FC0EF3">
        <w:t xml:space="preserve">tion of introducing this BC </w:t>
      </w:r>
      <w:r w:rsidR="00BC214D">
        <w:t xml:space="preserve">is </w:t>
      </w:r>
      <w:r w:rsidR="00CA4CAF">
        <w:t xml:space="preserve">to </w:t>
      </w:r>
      <w:r w:rsidR="00FC0EF3">
        <w:t xml:space="preserve">replace non-contiguous CA </w:t>
      </w:r>
      <w:r w:rsidR="007E2543">
        <w:t>for n77 for early deployment</w:t>
      </w:r>
      <w:r w:rsidR="00BC214D">
        <w:t xml:space="preserve">. And as specified in TS 38.101-1, UE still applies the minimum requirements defined for intra-band contiguous or non-contiguous CA </w:t>
      </w:r>
      <w:r w:rsidR="007E2543">
        <w:t>for CA_n77A-n78A</w:t>
      </w:r>
      <w:r w:rsidR="00BC214D">
        <w:t>.</w:t>
      </w:r>
      <w:r w:rsidR="00FC0EF3">
        <w:t xml:space="preserve"> </w:t>
      </w:r>
      <w:r w:rsidR="00BC214D">
        <w:t xml:space="preserve">So </w:t>
      </w:r>
      <w:r w:rsidR="007E2543">
        <w:t xml:space="preserve">in fact, network may deploy n77 and n78 cells in non-overlapping frequency domain, </w:t>
      </w:r>
      <w:r w:rsidR="00893BC6">
        <w:t>not</w:t>
      </w:r>
      <w:r w:rsidR="007E2543">
        <w:t xml:space="preserve"> </w:t>
      </w:r>
      <w:r w:rsidR="007E2543">
        <w:rPr>
          <w:rFonts w:hint="eastAsia"/>
        </w:rPr>
        <w:t>broadcasting</w:t>
      </w:r>
      <w:r w:rsidR="007E2543">
        <w:t xml:space="preserve"> MFBI.</w:t>
      </w:r>
      <w:r w:rsidR="00314995">
        <w:t xml:space="preserve"> </w:t>
      </w:r>
      <w:r w:rsidR="007E2543">
        <w:t xml:space="preserve">In addition, </w:t>
      </w:r>
      <w:r w:rsidR="00314995">
        <w:t xml:space="preserve">UE </w:t>
      </w:r>
      <w:r w:rsidR="00C07973">
        <w:t>usually</w:t>
      </w:r>
      <w:r w:rsidR="00314995">
        <w:t xml:space="preserve"> support</w:t>
      </w:r>
      <w:r w:rsidR="00893BC6">
        <w:t>s</w:t>
      </w:r>
      <w:r w:rsidR="00314995">
        <w:t xml:space="preserve"> multiple band combinations, so that DU can </w:t>
      </w:r>
      <w:r w:rsidR="00893BC6">
        <w:t xml:space="preserve">simply </w:t>
      </w:r>
      <w:r w:rsidR="00314995">
        <w:t xml:space="preserve">use the BandCombinationIndex of other </w:t>
      </w:r>
      <w:r w:rsidR="00893BC6">
        <w:t xml:space="preserve">supported </w:t>
      </w:r>
      <w:r w:rsidR="00314995">
        <w:t xml:space="preserve">BCs to </w:t>
      </w:r>
      <w:r w:rsidR="00893BC6">
        <w:t>deliver</w:t>
      </w:r>
      <w:r w:rsidR="00314995">
        <w:t xml:space="preserve"> the update band info. For example:</w:t>
      </w:r>
      <w:r w:rsidR="00893BC6">
        <w:t xml:space="preserve"> CA_n1A_77A, CA_n1A_n78A and so on.</w:t>
      </w:r>
      <w:r w:rsidR="00C214B3">
        <w:rPr>
          <w:b/>
        </w:rPr>
        <w:t xml:space="preserve"> </w:t>
      </w:r>
    </w:p>
    <w:p w14:paraId="44859E65" w14:textId="3ACF76A8" w:rsidR="00CC74C1" w:rsidRDefault="00C214B3" w:rsidP="009D46B4">
      <w:r>
        <w:t>C</w:t>
      </w:r>
      <w:r w:rsidR="00893BC6">
        <w:t xml:space="preserve">ompany may also argue that </w:t>
      </w:r>
      <w:r>
        <w:t>the</w:t>
      </w:r>
      <w:r w:rsidR="00893BC6">
        <w:t xml:space="preserve"> SupportedBandCombination</w:t>
      </w:r>
      <w:r>
        <w:t>List</w:t>
      </w:r>
      <w:r w:rsidR="00893BC6">
        <w:t xml:space="preserve"> may not include all UE supported band, because it relies on the band filter set by network. However, </w:t>
      </w:r>
      <w:r w:rsidR="0084505E">
        <w:t xml:space="preserve">when network sets the capability filer, </w:t>
      </w:r>
      <w:r w:rsidR="00893BC6">
        <w:t xml:space="preserve">it </w:t>
      </w:r>
      <w:r w:rsidR="0084505E">
        <w:t>is staightforward that</w:t>
      </w:r>
      <w:r w:rsidR="00893BC6">
        <w:t xml:space="preserve"> at least th</w:t>
      </w:r>
      <w:r w:rsidR="0084505E">
        <w:t>e</w:t>
      </w:r>
      <w:r w:rsidR="00893BC6">
        <w:t xml:space="preserve"> bands </w:t>
      </w:r>
      <w:r w:rsidR="0084505E">
        <w:t xml:space="preserve">deployed by operator </w:t>
      </w:r>
      <w:r w:rsidR="00893BC6">
        <w:t xml:space="preserve">will be </w:t>
      </w:r>
      <w:r w:rsidR="0084505E">
        <w:t xml:space="preserve">taken into account. And </w:t>
      </w:r>
      <w:r w:rsidR="00893BC6">
        <w:t>based on LTE experience, the main</w:t>
      </w:r>
      <w:r w:rsidR="0084505E">
        <w:t xml:space="preserve"> use case of changing serving band is to fit more band combination. For instance, a UE supports both n38 and n41 initially selects band n38 when entering the MFBI cell, however, the UE only suppports CA combination when PCell is operating on n41, not n38. Thus network has to trigger intra-cell handover to update serving band to n41, in order to add SCells.</w:t>
      </w:r>
      <w:r>
        <w:t xml:space="preserve"> Thus even for NR SA</w:t>
      </w:r>
      <w:r w:rsidR="00DC3CB2">
        <w:t xml:space="preserve">, </w:t>
      </w:r>
      <w:r>
        <w:t>it is impossible that UE will report irrelevant BCs in SupportedBandCombinationlList</w:t>
      </w:r>
      <w:r w:rsidR="00A655F5">
        <w:t>,</w:t>
      </w:r>
      <w:r w:rsidR="003F2A8D">
        <w:t xml:space="preserve"> </w:t>
      </w:r>
      <w:r w:rsidR="00A655F5">
        <w:t>a</w:t>
      </w:r>
      <w:r w:rsidR="003F2A8D">
        <w:t>nd this is within the network control.</w:t>
      </w:r>
      <w:r>
        <w:t xml:space="preserve"> </w:t>
      </w:r>
      <w:r w:rsidR="0084505E">
        <w:t xml:space="preserve"> </w:t>
      </w:r>
    </w:p>
    <w:p w14:paraId="06049C45" w14:textId="41A3EB47" w:rsidR="00211F76" w:rsidRPr="00EF5BC5" w:rsidRDefault="00C214B3" w:rsidP="00EF5BC5">
      <w:r>
        <w:t>In summary, regarding RAN3’s question, we think it is feasible to reuse “Selected BandCombinationIndex” field to deliver the update band information from DU to CU. There is no need to introduce additional fi</w:t>
      </w:r>
      <w:r w:rsidR="00523370">
        <w:t>eld in F1 interface.</w:t>
      </w:r>
    </w:p>
    <w:p w14:paraId="57A08505" w14:textId="48875D2E" w:rsidR="00987F59" w:rsidRPr="00190991" w:rsidRDefault="00987F59" w:rsidP="00987F59">
      <w:pPr>
        <w:spacing w:before="156" w:line="276" w:lineRule="auto"/>
        <w:ind w:left="993" w:hanging="993"/>
        <w:rPr>
          <w:b/>
        </w:rPr>
      </w:pPr>
      <w:r>
        <w:rPr>
          <w:b/>
        </w:rPr>
        <w:t xml:space="preserve">Proposal 2: Reply to RAN3 that </w:t>
      </w:r>
      <w:r w:rsidR="00C214B3">
        <w:rPr>
          <w:b/>
        </w:rPr>
        <w:t xml:space="preserve">“Selected </w:t>
      </w:r>
      <w:r>
        <w:rPr>
          <w:b/>
        </w:rPr>
        <w:t>BandCombinationIndex</w:t>
      </w:r>
      <w:r w:rsidR="00C214B3">
        <w:rPr>
          <w:b/>
        </w:rPr>
        <w:t>”</w:t>
      </w:r>
      <w:r>
        <w:rPr>
          <w:b/>
        </w:rPr>
        <w:t xml:space="preserve"> field</w:t>
      </w:r>
      <w:r w:rsidR="00523370">
        <w:rPr>
          <w:b/>
        </w:rPr>
        <w:t xml:space="preserve"> in F1AP</w:t>
      </w:r>
      <w:r>
        <w:rPr>
          <w:b/>
        </w:rPr>
        <w:t xml:space="preserve"> can be reused to indicate the selected band</w:t>
      </w:r>
      <w:r>
        <w:rPr>
          <w:rFonts w:hint="eastAsia"/>
          <w:b/>
        </w:rPr>
        <w:t>.</w:t>
      </w:r>
    </w:p>
    <w:p w14:paraId="4A49C8B7" w14:textId="10990FE4" w:rsidR="004F5977" w:rsidRDefault="00523370">
      <w:r>
        <w:t>An draft reply LS is provided in [3].</w:t>
      </w:r>
    </w:p>
    <w:p w14:paraId="383EAB69" w14:textId="754FA0F2" w:rsidR="00267D41" w:rsidRDefault="00267D41" w:rsidP="00267D41">
      <w:pPr>
        <w:spacing w:before="156" w:line="276" w:lineRule="auto"/>
        <w:ind w:left="993" w:hanging="993"/>
        <w:rPr>
          <w:b/>
        </w:rPr>
      </w:pPr>
      <w:r>
        <w:rPr>
          <w:b/>
        </w:rPr>
        <w:t xml:space="preserve">Proposal </w:t>
      </w:r>
      <w:r w:rsidR="00A655F5">
        <w:rPr>
          <w:b/>
        </w:rPr>
        <w:t>3</w:t>
      </w:r>
      <w:r>
        <w:rPr>
          <w:b/>
        </w:rPr>
        <w:t xml:space="preserve">: </w:t>
      </w:r>
      <w:r w:rsidR="00523370">
        <w:rPr>
          <w:b/>
        </w:rPr>
        <w:t>Approve</w:t>
      </w:r>
      <w:r w:rsidR="00190991">
        <w:rPr>
          <w:b/>
        </w:rPr>
        <w:t xml:space="preserve"> the </w:t>
      </w:r>
      <w:r w:rsidR="00523370">
        <w:rPr>
          <w:b/>
        </w:rPr>
        <w:t>LS</w:t>
      </w:r>
      <w:r w:rsidR="00190991">
        <w:rPr>
          <w:b/>
        </w:rPr>
        <w:t xml:space="preserve"> in [</w:t>
      </w:r>
      <w:r w:rsidR="00523370">
        <w:rPr>
          <w:b/>
        </w:rPr>
        <w:t>3</w:t>
      </w:r>
      <w:r w:rsidR="00190991">
        <w:rPr>
          <w:b/>
        </w:rPr>
        <w:t>]</w:t>
      </w:r>
      <w:r>
        <w:rPr>
          <w:rFonts w:hint="eastAsia"/>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6EE3E430" w14:textId="77777777" w:rsidR="00A655F5" w:rsidRPr="009346BD" w:rsidRDefault="00A655F5" w:rsidP="00A655F5">
      <w:pPr>
        <w:ind w:left="1276" w:hanging="1276"/>
        <w:rPr>
          <w:b/>
        </w:rPr>
      </w:pPr>
      <w:bookmarkStart w:id="7" w:name="_Toc535476034"/>
      <w:r>
        <w:rPr>
          <w:b/>
        </w:rPr>
        <w:t>Observation</w:t>
      </w:r>
      <w:r>
        <w:rPr>
          <w:rFonts w:hint="eastAsia"/>
          <w:b/>
        </w:rPr>
        <w:t xml:space="preserve"> </w:t>
      </w:r>
      <w:r>
        <w:rPr>
          <w:b/>
        </w:rPr>
        <w:t>1</w:t>
      </w:r>
      <w:r>
        <w:rPr>
          <w:rFonts w:hint="eastAsia"/>
          <w:b/>
        </w:rPr>
        <w:t xml:space="preserve">:  </w:t>
      </w:r>
      <w:r>
        <w:rPr>
          <w:b/>
        </w:rPr>
        <w:t xml:space="preserve">During initial access to an MFBI cell, the UE will select the first supported band broadcast in SIB1, and network can know this information after obtaining UE’s radio capability. </w:t>
      </w:r>
    </w:p>
    <w:p w14:paraId="5FED08CC" w14:textId="77777777" w:rsidR="00A655F5" w:rsidRPr="009346BD" w:rsidRDefault="00A655F5" w:rsidP="00A655F5">
      <w:pPr>
        <w:ind w:left="1276" w:hanging="1276"/>
        <w:rPr>
          <w:b/>
        </w:rPr>
      </w:pPr>
      <w:r>
        <w:rPr>
          <w:b/>
        </w:rPr>
        <w:t>Observation</w:t>
      </w:r>
      <w:r>
        <w:rPr>
          <w:rFonts w:hint="eastAsia"/>
          <w:b/>
        </w:rPr>
        <w:t xml:space="preserve"> </w:t>
      </w:r>
      <w:r>
        <w:rPr>
          <w:b/>
        </w:rPr>
        <w:t>2</w:t>
      </w:r>
      <w:r>
        <w:rPr>
          <w:rFonts w:hint="eastAsia"/>
          <w:b/>
        </w:rPr>
        <w:t xml:space="preserve">:  </w:t>
      </w:r>
      <w:r>
        <w:rPr>
          <w:b/>
        </w:rPr>
        <w:t>Network can trigger intra-cell handover to update the served band of serving cell, and the new NR band can be selected by gNB-DU.</w:t>
      </w:r>
    </w:p>
    <w:p w14:paraId="34A879C5" w14:textId="77777777" w:rsidR="00A655F5" w:rsidRPr="009346BD" w:rsidRDefault="00A655F5" w:rsidP="00A655F5">
      <w:pPr>
        <w:ind w:left="1276" w:hanging="1276"/>
        <w:rPr>
          <w:b/>
        </w:rPr>
      </w:pPr>
      <w:r>
        <w:rPr>
          <w:b/>
        </w:rPr>
        <w:t>Observation</w:t>
      </w:r>
      <w:r>
        <w:rPr>
          <w:rFonts w:hint="eastAsia"/>
          <w:b/>
        </w:rPr>
        <w:t xml:space="preserve"> </w:t>
      </w:r>
      <w:r>
        <w:rPr>
          <w:b/>
        </w:rPr>
        <w:t>3</w:t>
      </w:r>
      <w:r>
        <w:rPr>
          <w:rFonts w:hint="eastAsia"/>
          <w:b/>
        </w:rPr>
        <w:t xml:space="preserve">:  </w:t>
      </w:r>
      <w:r>
        <w:rPr>
          <w:b/>
        </w:rPr>
        <w:t xml:space="preserve">When network updates the served band of serving cell, network may also need to update the </w:t>
      </w:r>
      <w:r>
        <w:rPr>
          <w:b/>
        </w:rPr>
        <w:lastRenderedPageBreak/>
        <w:t>measObjectNR of serving frequencies.</w:t>
      </w:r>
    </w:p>
    <w:p w14:paraId="408AF5BE" w14:textId="77777777" w:rsidR="00A655F5" w:rsidRPr="00FD72D6" w:rsidRDefault="00A655F5" w:rsidP="00A655F5">
      <w:pPr>
        <w:ind w:left="1276" w:hanging="1276"/>
        <w:rPr>
          <w:b/>
        </w:rPr>
      </w:pPr>
      <w:r>
        <w:rPr>
          <w:b/>
        </w:rPr>
        <w:t>Observation</w:t>
      </w:r>
      <w:r>
        <w:rPr>
          <w:rFonts w:hint="eastAsia"/>
          <w:b/>
        </w:rPr>
        <w:t xml:space="preserve"> </w:t>
      </w:r>
      <w:r>
        <w:rPr>
          <w:b/>
        </w:rPr>
        <w:t>4</w:t>
      </w:r>
      <w:r>
        <w:rPr>
          <w:rFonts w:hint="eastAsia"/>
          <w:b/>
        </w:rPr>
        <w:t xml:space="preserve">:  </w:t>
      </w:r>
      <w:r>
        <w:rPr>
          <w:b/>
        </w:rPr>
        <w:t xml:space="preserve">The network cannot change the served band during RRC connection setup procedure, because network does not know UE’s capability (e.g. supported bands) at that time. </w:t>
      </w:r>
    </w:p>
    <w:p w14:paraId="2B01AF54" w14:textId="77777777" w:rsidR="00A655F5" w:rsidRPr="00FD72D6" w:rsidRDefault="00A655F5" w:rsidP="00A655F5">
      <w:pPr>
        <w:ind w:left="1276" w:hanging="1276"/>
        <w:rPr>
          <w:b/>
        </w:rPr>
      </w:pPr>
      <w:r>
        <w:rPr>
          <w:b/>
        </w:rPr>
        <w:t>Observation</w:t>
      </w:r>
      <w:r>
        <w:rPr>
          <w:rFonts w:hint="eastAsia"/>
          <w:b/>
        </w:rPr>
        <w:t xml:space="preserve"> </w:t>
      </w:r>
      <w:r>
        <w:rPr>
          <w:b/>
        </w:rPr>
        <w:t>5</w:t>
      </w:r>
      <w:r>
        <w:rPr>
          <w:rFonts w:hint="eastAsia"/>
          <w:b/>
        </w:rPr>
        <w:t xml:space="preserve">:  </w:t>
      </w:r>
      <w:r>
        <w:rPr>
          <w:b/>
        </w:rPr>
        <w:t xml:space="preserve">The network cannot change the served band during RRC connection resume procedure, because RRCResume message cannot carry </w:t>
      </w:r>
      <w:r w:rsidRPr="00303C87">
        <w:rPr>
          <w:b/>
          <w:i/>
        </w:rPr>
        <w:t>reconfigurationWithSync</w:t>
      </w:r>
      <w:r>
        <w:rPr>
          <w:b/>
        </w:rPr>
        <w:t xml:space="preserve"> field. </w:t>
      </w:r>
    </w:p>
    <w:p w14:paraId="4B7B02E1" w14:textId="77777777" w:rsidR="00A655F5" w:rsidRPr="00FD72D6" w:rsidRDefault="00A655F5" w:rsidP="00A655F5">
      <w:pPr>
        <w:ind w:left="1276" w:hanging="1276"/>
        <w:rPr>
          <w:b/>
        </w:rPr>
      </w:pPr>
      <w:r>
        <w:rPr>
          <w:b/>
        </w:rPr>
        <w:t>Observation</w:t>
      </w:r>
      <w:r>
        <w:rPr>
          <w:rFonts w:hint="eastAsia"/>
          <w:b/>
        </w:rPr>
        <w:t xml:space="preserve"> </w:t>
      </w:r>
      <w:r>
        <w:rPr>
          <w:b/>
        </w:rPr>
        <w:t>6</w:t>
      </w:r>
      <w:r>
        <w:rPr>
          <w:rFonts w:hint="eastAsia"/>
          <w:b/>
        </w:rPr>
        <w:t xml:space="preserve">:  </w:t>
      </w:r>
      <w:r>
        <w:rPr>
          <w:b/>
        </w:rPr>
        <w:t xml:space="preserve">The band information indicated through BandCombinationIndex can be a single band, or band combination. </w:t>
      </w:r>
    </w:p>
    <w:p w14:paraId="77E42FF3" w14:textId="77777777" w:rsidR="00A655F5" w:rsidRPr="00C214B3" w:rsidRDefault="00A655F5" w:rsidP="00A655F5">
      <w:pPr>
        <w:ind w:left="1276" w:hanging="1276"/>
        <w:rPr>
          <w:b/>
        </w:rPr>
      </w:pPr>
      <w:r>
        <w:rPr>
          <w:b/>
        </w:rPr>
        <w:t>Observation</w:t>
      </w:r>
      <w:r>
        <w:rPr>
          <w:rFonts w:hint="eastAsia"/>
          <w:b/>
        </w:rPr>
        <w:t xml:space="preserve"> </w:t>
      </w:r>
      <w:r>
        <w:rPr>
          <w:b/>
        </w:rPr>
        <w:t>7</w:t>
      </w:r>
      <w:r>
        <w:rPr>
          <w:rFonts w:hint="eastAsia"/>
          <w:b/>
        </w:rPr>
        <w:t xml:space="preserve">:  </w:t>
      </w:r>
      <w:r>
        <w:rPr>
          <w:b/>
        </w:rPr>
        <w:t xml:space="preserve">From RAN2 point of view, it is feasible to derive the served band information via BandCombinationIndex. </w:t>
      </w:r>
    </w:p>
    <w:p w14:paraId="7B6B6C46" w14:textId="77777777" w:rsidR="00A655F5" w:rsidRPr="00BB780E" w:rsidRDefault="00A655F5" w:rsidP="00A655F5">
      <w:pPr>
        <w:spacing w:before="156" w:line="276" w:lineRule="auto"/>
        <w:ind w:left="993" w:hanging="993"/>
        <w:rPr>
          <w:b/>
        </w:rPr>
      </w:pPr>
      <w:r>
        <w:rPr>
          <w:b/>
        </w:rPr>
        <w:t>Proposal 1: Reply to RAN3 that network can change the UE’s served band only after RRC connection is established and UE’s radio capability is obtained (i.e. updating band during RRC connection setup or RRC connection resume is not supported)</w:t>
      </w:r>
      <w:r>
        <w:rPr>
          <w:rFonts w:hint="eastAsia"/>
          <w:b/>
        </w:rPr>
        <w:t>.</w:t>
      </w:r>
    </w:p>
    <w:p w14:paraId="05FCA9A1" w14:textId="77777777" w:rsidR="00A655F5" w:rsidRPr="00190991" w:rsidRDefault="00A655F5" w:rsidP="00A655F5">
      <w:pPr>
        <w:spacing w:before="156" w:line="276" w:lineRule="auto"/>
        <w:ind w:left="993" w:hanging="993"/>
        <w:rPr>
          <w:b/>
        </w:rPr>
      </w:pPr>
      <w:r>
        <w:rPr>
          <w:b/>
        </w:rPr>
        <w:t>Proposal 2: Reply to RAN3 that “Selected BandCombinationIndex” field in F1AP can be reused to indicate the selected band</w:t>
      </w:r>
      <w:r>
        <w:rPr>
          <w:rFonts w:hint="eastAsia"/>
          <w:b/>
        </w:rPr>
        <w:t>.</w:t>
      </w:r>
    </w:p>
    <w:p w14:paraId="43911BD0" w14:textId="57E2EC00" w:rsidR="00A655F5" w:rsidRDefault="00A655F5" w:rsidP="00A655F5">
      <w:pPr>
        <w:spacing w:before="156" w:line="276" w:lineRule="auto"/>
        <w:ind w:left="993" w:hanging="993"/>
        <w:rPr>
          <w:b/>
        </w:rPr>
      </w:pPr>
      <w:r>
        <w:rPr>
          <w:b/>
        </w:rPr>
        <w:t>Proposal 3: Approve the LS in [3]</w:t>
      </w:r>
      <w:r>
        <w:rPr>
          <w:rFonts w:hint="eastAsia"/>
          <w:b/>
        </w:rPr>
        <w:t>.</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45083B40" w14:textId="34F81B32" w:rsidR="00E84692" w:rsidRDefault="0043216B" w:rsidP="0009621A">
      <w:pPr>
        <w:spacing w:before="156"/>
      </w:pPr>
      <w:r>
        <w:t xml:space="preserve">[1] </w:t>
      </w:r>
      <w:r w:rsidR="005B4365" w:rsidRPr="005B4365">
        <w:t>R3-205765</w:t>
      </w:r>
      <w:r w:rsidR="00BF37CD">
        <w:t xml:space="preserve"> </w:t>
      </w:r>
      <w:r w:rsidR="005B4365" w:rsidRPr="005B4365">
        <w:t>Band selection and indication on single connectivity</w:t>
      </w:r>
      <w:r w:rsidR="00BF37CD">
        <w:t xml:space="preserve">   ZTE Corporation</w:t>
      </w:r>
      <w:r w:rsidR="00523370">
        <w:t xml:space="preserve">    From RAN3, To RAN2</w:t>
      </w:r>
      <w:r w:rsidR="005B127E">
        <w:t>;</w:t>
      </w:r>
      <w:bookmarkEnd w:id="7"/>
    </w:p>
    <w:p w14:paraId="208C3FB2" w14:textId="167A4B77" w:rsidR="00523370" w:rsidRDefault="00523370" w:rsidP="00523370">
      <w:pPr>
        <w:spacing w:before="156"/>
      </w:pPr>
      <w:r>
        <w:t xml:space="preserve">[2] R4-1909921 </w:t>
      </w:r>
      <w:r w:rsidRPr="00523370">
        <w:t>On supporting CA_n77-n78</w:t>
      </w:r>
      <w:r>
        <w:t xml:space="preserve">    Huawei, Hisilicon, KDDI;</w:t>
      </w:r>
    </w:p>
    <w:p w14:paraId="3F744F0E" w14:textId="0BEE6C96" w:rsidR="00523370" w:rsidRDefault="003B676B" w:rsidP="00523370">
      <w:pPr>
        <w:spacing w:before="156"/>
      </w:pPr>
      <w:r>
        <w:t>[3] R2-2009243</w:t>
      </w:r>
      <w:r w:rsidR="00523370">
        <w:t xml:space="preserve"> draft reply LS on band selection and indication    ZTE Corporation   From RAN2, To RAN3;</w:t>
      </w:r>
    </w:p>
    <w:p w14:paraId="4610AA71" w14:textId="7E2CA25F" w:rsidR="00306941" w:rsidRPr="00893BC6" w:rsidRDefault="00306941" w:rsidP="0030694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Annex</w:t>
      </w:r>
    </w:p>
    <w:p w14:paraId="2B8D7F47" w14:textId="724919BD" w:rsidR="00306941" w:rsidRDefault="00306941" w:rsidP="00306941">
      <w:r>
        <w:t xml:space="preserve">TS 38.331, field description of </w:t>
      </w:r>
      <w:r w:rsidRPr="00306941">
        <w:rPr>
          <w:i/>
        </w:rPr>
        <w:t>bandCombinationIndex</w:t>
      </w:r>
      <w:r w:rsidRPr="00306941">
        <w:t xml:space="preserve"> IE</w:t>
      </w:r>
      <w: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306941" w:rsidRPr="00834AED" w14:paraId="5BE75FC5" w14:textId="77777777" w:rsidTr="00DA76B8">
        <w:tc>
          <w:tcPr>
            <w:tcW w:w="9606" w:type="dxa"/>
            <w:tcBorders>
              <w:top w:val="single" w:sz="4" w:space="0" w:color="auto"/>
              <w:left w:val="single" w:sz="4" w:space="0" w:color="auto"/>
              <w:bottom w:val="single" w:sz="4" w:space="0" w:color="auto"/>
              <w:right w:val="single" w:sz="4" w:space="0" w:color="auto"/>
            </w:tcBorders>
            <w:hideMark/>
          </w:tcPr>
          <w:p w14:paraId="6E58814F" w14:textId="77777777" w:rsidR="00306941" w:rsidRPr="00834AED" w:rsidRDefault="00306941" w:rsidP="00DA76B8">
            <w:pPr>
              <w:pStyle w:val="TAL"/>
              <w:rPr>
                <w:rFonts w:eastAsia="Calibri"/>
                <w:szCs w:val="22"/>
                <w:lang w:eastAsia="sv-SE"/>
              </w:rPr>
            </w:pPr>
            <w:r w:rsidRPr="00834AED">
              <w:rPr>
                <w:b/>
                <w:i/>
                <w:szCs w:val="22"/>
                <w:lang w:eastAsia="sv-SE"/>
              </w:rPr>
              <w:lastRenderedPageBreak/>
              <w:t>bandCombinationIndex</w:t>
            </w:r>
          </w:p>
          <w:p w14:paraId="5465AE95" w14:textId="77777777" w:rsidR="00306941" w:rsidRPr="00834AED" w:rsidRDefault="00306941" w:rsidP="00DA76B8">
            <w:pPr>
              <w:pStyle w:val="TAL"/>
              <w:rPr>
                <w:rFonts w:eastAsia="Calibri"/>
                <w:szCs w:val="22"/>
                <w:lang w:eastAsia="sv-SE"/>
              </w:rPr>
            </w:pPr>
            <w:r w:rsidRPr="00834AED">
              <w:rPr>
                <w:szCs w:val="22"/>
                <w:lang w:eastAsia="sv-SE"/>
              </w:rPr>
              <w:t xml:space="preserve">In case of NR-DC, this field indicates the position of a band combination in the </w:t>
            </w:r>
            <w:r w:rsidRPr="00834AED">
              <w:rPr>
                <w:i/>
                <w:lang w:eastAsia="sv-SE"/>
              </w:rPr>
              <w:t>supportedBandCombinationList</w:t>
            </w:r>
            <w:r w:rsidRPr="00834AED">
              <w:rPr>
                <w:iCs/>
                <w:lang w:eastAsia="sv-SE"/>
              </w:rPr>
              <w:t xml:space="preserve">. In case of NE-DC, this field indicates the position of a band combination in the </w:t>
            </w:r>
            <w:r w:rsidRPr="00834AED">
              <w:rPr>
                <w:i/>
                <w:lang w:eastAsia="sv-SE"/>
              </w:rPr>
              <w:t>supportedBandCombinationList</w:t>
            </w:r>
            <w:r w:rsidRPr="00834AED">
              <w:rPr>
                <w:iCs/>
                <w:lang w:eastAsia="sv-SE"/>
              </w:rPr>
              <w:t xml:space="preserve"> and/or </w:t>
            </w:r>
            <w:r w:rsidRPr="00834AED">
              <w:rPr>
                <w:i/>
                <w:lang w:eastAsia="sv-SE"/>
              </w:rPr>
              <w:t>supportedBandCombinationListNEDC-Only</w:t>
            </w:r>
            <w:r w:rsidRPr="00834AED">
              <w:rPr>
                <w:iCs/>
                <w:lang w:eastAsia="sv-SE"/>
              </w:rPr>
              <w:t xml:space="preserve">. </w:t>
            </w:r>
            <w:r w:rsidRPr="00834AED">
              <w:rPr>
                <w:iCs/>
              </w:rPr>
              <w:t>I</w:t>
            </w:r>
            <w:r w:rsidRPr="00834AED">
              <w:rPr>
                <w:szCs w:val="22"/>
              </w:rPr>
              <w:t xml:space="preserve">n case of (NG)EN-DC, this field indicates the position of a band combination in the </w:t>
            </w:r>
            <w:r w:rsidRPr="00834AED">
              <w:rPr>
                <w:i/>
              </w:rPr>
              <w:t xml:space="preserve">supportedBandCombinationList </w:t>
            </w:r>
            <w:r w:rsidRPr="00834AED">
              <w:rPr>
                <w:iCs/>
              </w:rPr>
              <w:t xml:space="preserve">and/or </w:t>
            </w:r>
            <w:r w:rsidRPr="00834AED">
              <w:rPr>
                <w:i/>
              </w:rPr>
              <w:t>supportedBandCombinationList-UplinkTxSwitch</w:t>
            </w:r>
            <w:r w:rsidRPr="00834AED">
              <w:rPr>
                <w:iCs/>
              </w:rPr>
              <w:t xml:space="preserve">. </w:t>
            </w:r>
            <w:r w:rsidRPr="00834AED">
              <w:rPr>
                <w:iCs/>
                <w:lang w:eastAsia="sv-SE"/>
              </w:rPr>
              <w:t xml:space="preserve">Band combination entries in </w:t>
            </w:r>
            <w:r w:rsidRPr="00834AED">
              <w:rPr>
                <w:i/>
                <w:lang w:eastAsia="sv-SE"/>
              </w:rPr>
              <w:t xml:space="preserve">supportedBandCombinationList </w:t>
            </w:r>
            <w:r w:rsidRPr="00834AED">
              <w:rPr>
                <w:iCs/>
                <w:lang w:eastAsia="sv-SE"/>
              </w:rPr>
              <w:t xml:space="preserve">are referred by an index which corresponds to the position of a band combination in the </w:t>
            </w:r>
            <w:r w:rsidRPr="00834AED">
              <w:rPr>
                <w:i/>
                <w:lang w:eastAsia="sv-SE"/>
              </w:rPr>
              <w:t>supportedBandCombinationList</w:t>
            </w:r>
            <w:r w:rsidRPr="00834AED">
              <w:rPr>
                <w:iCs/>
                <w:lang w:eastAsia="sv-SE"/>
              </w:rPr>
              <w:t xml:space="preserve">. Band combination entries in </w:t>
            </w:r>
            <w:r w:rsidRPr="00834AED">
              <w:rPr>
                <w:i/>
                <w:lang w:eastAsia="sv-SE"/>
              </w:rPr>
              <w:t>supportedBandCombinationListNEDC-Only</w:t>
            </w:r>
            <w:r w:rsidRPr="00834AED">
              <w:rPr>
                <w:iCs/>
                <w:lang w:eastAsia="sv-SE"/>
              </w:rPr>
              <w:t xml:space="preserve"> are referred by an index which corresponds to the position of a band combination in the </w:t>
            </w:r>
            <w:r w:rsidRPr="00834AED">
              <w:rPr>
                <w:i/>
                <w:lang w:eastAsia="sv-SE"/>
              </w:rPr>
              <w:t>supportedBandCombinationListNEDC-Only</w:t>
            </w:r>
            <w:r w:rsidRPr="00834AED">
              <w:rPr>
                <w:iCs/>
                <w:lang w:eastAsia="sv-SE"/>
              </w:rPr>
              <w:t xml:space="preserve"> increased by the number of entries in </w:t>
            </w:r>
            <w:r w:rsidRPr="00834AED">
              <w:rPr>
                <w:i/>
                <w:lang w:eastAsia="sv-SE"/>
              </w:rPr>
              <w:t>supportedBandCombinationList</w:t>
            </w:r>
            <w:r w:rsidRPr="00834AED">
              <w:rPr>
                <w:iCs/>
                <w:lang w:eastAsia="sv-SE"/>
              </w:rPr>
              <w:t>.</w:t>
            </w:r>
            <w:r w:rsidRPr="00834AED">
              <w:rPr>
                <w:iCs/>
              </w:rPr>
              <w:t xml:space="preserve"> Band combination entries in </w:t>
            </w:r>
            <w:r w:rsidRPr="00834AED">
              <w:rPr>
                <w:i/>
              </w:rPr>
              <w:t xml:space="preserve">supportedBandCombinationList-UplinkTxSwitch </w:t>
            </w:r>
            <w:r w:rsidRPr="00834AED">
              <w:rPr>
                <w:iCs/>
              </w:rPr>
              <w:t xml:space="preserve">are referred by an index which corresponds to the position of a band combination in the </w:t>
            </w:r>
            <w:r w:rsidRPr="00834AED">
              <w:rPr>
                <w:i/>
              </w:rPr>
              <w:t xml:space="preserve">supportedBandCombinationList-UplinkTxSwitch </w:t>
            </w:r>
            <w:r w:rsidRPr="00834AED">
              <w:rPr>
                <w:iCs/>
              </w:rPr>
              <w:t xml:space="preserve">increased by the number of entries in </w:t>
            </w:r>
            <w:r w:rsidRPr="00834AED">
              <w:rPr>
                <w:i/>
              </w:rPr>
              <w:t>supportedBandCombinationList</w:t>
            </w:r>
            <w:r w:rsidRPr="00834AED">
              <w:rPr>
                <w:iCs/>
              </w:rPr>
              <w:t>.</w:t>
            </w:r>
          </w:p>
        </w:tc>
      </w:tr>
    </w:tbl>
    <w:p w14:paraId="5651FA02" w14:textId="77777777" w:rsidR="00306941" w:rsidRDefault="00306941" w:rsidP="00306941"/>
    <w:p w14:paraId="21F0F8B8" w14:textId="77777777" w:rsidR="00306941" w:rsidRDefault="00306941" w:rsidP="00306941"/>
    <w:p w14:paraId="6D150C93" w14:textId="77777777" w:rsidR="00306941" w:rsidRDefault="00306941" w:rsidP="0009621A">
      <w:pPr>
        <w:spacing w:before="156"/>
      </w:pPr>
    </w:p>
    <w:p w14:paraId="474F5FF3" w14:textId="77777777" w:rsidR="0009621A" w:rsidRDefault="0009621A" w:rsidP="0009621A">
      <w:pPr>
        <w:spacing w:before="156"/>
      </w:pPr>
    </w:p>
    <w:p w14:paraId="4B20D7E6" w14:textId="77777777" w:rsidR="0009621A" w:rsidRDefault="0009621A" w:rsidP="0009621A">
      <w:pPr>
        <w:spacing w:before="156"/>
        <w:rPr>
          <w:rFonts w:ascii="Arial" w:hAnsi="Arial" w:cs="Arial"/>
          <w:b/>
          <w:bCs/>
          <w:kern w:val="0"/>
          <w:sz w:val="32"/>
          <w:szCs w:val="36"/>
        </w:rPr>
      </w:pPr>
    </w:p>
    <w:sectPr w:rsidR="0009621A" w:rsidSect="00923FEC">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FD05D" w14:textId="77777777" w:rsidR="00762D71" w:rsidRDefault="00762D71">
      <w:pPr>
        <w:spacing w:after="0"/>
      </w:pPr>
      <w:r>
        <w:separator/>
      </w:r>
    </w:p>
  </w:endnote>
  <w:endnote w:type="continuationSeparator" w:id="0">
    <w:p w14:paraId="44925EEE" w14:textId="77777777" w:rsidR="00762D71" w:rsidRDefault="00762D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DA76B8" w:rsidRDefault="00DA76B8">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DA76B8" w:rsidRDefault="00DA76B8">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DA76B8" w:rsidRDefault="00DA76B8">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DA76B8" w:rsidRDefault="00DA76B8">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40A29" w14:textId="77777777" w:rsidR="00762D71" w:rsidRDefault="00762D71">
      <w:pPr>
        <w:spacing w:after="0"/>
      </w:pPr>
      <w:r>
        <w:separator/>
      </w:r>
    </w:p>
  </w:footnote>
  <w:footnote w:type="continuationSeparator" w:id="0">
    <w:p w14:paraId="71C32630" w14:textId="77777777" w:rsidR="00762D71" w:rsidRDefault="00762D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DA76B8" w:rsidRDefault="00DA76B8">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DA76B8" w:rsidRDefault="00DA76B8">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DA76B8" w:rsidRDefault="00DA76B8">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1F67AC6"/>
    <w:multiLevelType w:val="hybridMultilevel"/>
    <w:tmpl w:val="9BC2FA8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5">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2652AAB"/>
    <w:multiLevelType w:val="hybridMultilevel"/>
    <w:tmpl w:val="447E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1E0DF6"/>
    <w:multiLevelType w:val="hybridMultilevel"/>
    <w:tmpl w:val="BC64D7FC"/>
    <w:lvl w:ilvl="0" w:tplc="AF8AE34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9C000A5"/>
    <w:multiLevelType w:val="hybridMultilevel"/>
    <w:tmpl w:val="5B541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045197"/>
    <w:multiLevelType w:val="hybridMultilevel"/>
    <w:tmpl w:val="94E6A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E792B2D"/>
    <w:multiLevelType w:val="hybridMultilevel"/>
    <w:tmpl w:val="336E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CF6261"/>
    <w:multiLevelType w:val="hybridMultilevel"/>
    <w:tmpl w:val="9F16B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520010B1"/>
    <w:multiLevelType w:val="hybridMultilevel"/>
    <w:tmpl w:val="F5A20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BE22B4"/>
    <w:multiLevelType w:val="hybridMultilevel"/>
    <w:tmpl w:val="F60A8BA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151B29"/>
    <w:multiLevelType w:val="hybridMultilevel"/>
    <w:tmpl w:val="67CA2F9E"/>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6">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8471ED7"/>
    <w:multiLevelType w:val="hybridMultilevel"/>
    <w:tmpl w:val="B43009CC"/>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32762A"/>
    <w:multiLevelType w:val="hybridMultilevel"/>
    <w:tmpl w:val="9F5E524A"/>
    <w:lvl w:ilvl="0" w:tplc="6CB0184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
  </w:num>
  <w:num w:numId="2">
    <w:abstractNumId w:val="20"/>
  </w:num>
  <w:num w:numId="3">
    <w:abstractNumId w:val="28"/>
  </w:num>
  <w:num w:numId="4">
    <w:abstractNumId w:val="17"/>
  </w:num>
  <w:num w:numId="5">
    <w:abstractNumId w:val="6"/>
  </w:num>
  <w:num w:numId="6">
    <w:abstractNumId w:val="11"/>
  </w:num>
  <w:num w:numId="7">
    <w:abstractNumId w:val="7"/>
  </w:num>
  <w:num w:numId="8">
    <w:abstractNumId w:val="25"/>
  </w:num>
  <w:num w:numId="9">
    <w:abstractNumId w:val="13"/>
  </w:num>
  <w:num w:numId="10">
    <w:abstractNumId w:val="9"/>
  </w:num>
  <w:num w:numId="11">
    <w:abstractNumId w:val="0"/>
  </w:num>
  <w:num w:numId="12">
    <w:abstractNumId w:val="21"/>
  </w:num>
  <w:num w:numId="13">
    <w:abstractNumId w:val="8"/>
  </w:num>
  <w:num w:numId="14">
    <w:abstractNumId w:val="4"/>
  </w:num>
  <w:num w:numId="15">
    <w:abstractNumId w:val="5"/>
  </w:num>
  <w:num w:numId="16">
    <w:abstractNumId w:val="10"/>
  </w:num>
  <w:num w:numId="17">
    <w:abstractNumId w:val="12"/>
  </w:num>
  <w:num w:numId="18">
    <w:abstractNumId w:val="18"/>
  </w:num>
  <w:num w:numId="19">
    <w:abstractNumId w:val="23"/>
  </w:num>
  <w:num w:numId="20">
    <w:abstractNumId w:val="19"/>
  </w:num>
  <w:num w:numId="21">
    <w:abstractNumId w:val="22"/>
  </w:num>
  <w:num w:numId="22">
    <w:abstractNumId w:val="3"/>
  </w:num>
  <w:num w:numId="23">
    <w:abstractNumId w:val="27"/>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16"/>
  </w:num>
  <w:num w:numId="27">
    <w:abstractNumId w:val="24"/>
  </w:num>
  <w:num w:numId="28">
    <w:abstractNumId w:val="29"/>
  </w:num>
  <w:num w:numId="29">
    <w:abstractNumId w:val="14"/>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4706"/>
    <w:rsid w:val="000055B1"/>
    <w:rsid w:val="00006867"/>
    <w:rsid w:val="00007F63"/>
    <w:rsid w:val="000103E7"/>
    <w:rsid w:val="000133EA"/>
    <w:rsid w:val="00013FAD"/>
    <w:rsid w:val="00015844"/>
    <w:rsid w:val="00015C78"/>
    <w:rsid w:val="00017BA5"/>
    <w:rsid w:val="00021259"/>
    <w:rsid w:val="00021359"/>
    <w:rsid w:val="0002351A"/>
    <w:rsid w:val="000248FC"/>
    <w:rsid w:val="0002512C"/>
    <w:rsid w:val="0002660A"/>
    <w:rsid w:val="00026899"/>
    <w:rsid w:val="0002698B"/>
    <w:rsid w:val="00027585"/>
    <w:rsid w:val="000311AF"/>
    <w:rsid w:val="00035803"/>
    <w:rsid w:val="00035B5F"/>
    <w:rsid w:val="00035EF9"/>
    <w:rsid w:val="00037973"/>
    <w:rsid w:val="00040A63"/>
    <w:rsid w:val="0004105F"/>
    <w:rsid w:val="000424DB"/>
    <w:rsid w:val="00042E6F"/>
    <w:rsid w:val="000432B6"/>
    <w:rsid w:val="00043923"/>
    <w:rsid w:val="000439F7"/>
    <w:rsid w:val="00044CC7"/>
    <w:rsid w:val="0004506E"/>
    <w:rsid w:val="00046160"/>
    <w:rsid w:val="00047CF7"/>
    <w:rsid w:val="0005129F"/>
    <w:rsid w:val="00051546"/>
    <w:rsid w:val="00051971"/>
    <w:rsid w:val="000563ED"/>
    <w:rsid w:val="000571B0"/>
    <w:rsid w:val="00057DA8"/>
    <w:rsid w:val="000601A5"/>
    <w:rsid w:val="00062DCF"/>
    <w:rsid w:val="000639F7"/>
    <w:rsid w:val="00065456"/>
    <w:rsid w:val="0007093A"/>
    <w:rsid w:val="0007205B"/>
    <w:rsid w:val="000720EB"/>
    <w:rsid w:val="000755A8"/>
    <w:rsid w:val="0007644F"/>
    <w:rsid w:val="00076824"/>
    <w:rsid w:val="00076B12"/>
    <w:rsid w:val="00080002"/>
    <w:rsid w:val="000801E0"/>
    <w:rsid w:val="000804D4"/>
    <w:rsid w:val="0008122E"/>
    <w:rsid w:val="00082CAA"/>
    <w:rsid w:val="000833F5"/>
    <w:rsid w:val="00084128"/>
    <w:rsid w:val="00084609"/>
    <w:rsid w:val="000875C4"/>
    <w:rsid w:val="00087EC3"/>
    <w:rsid w:val="0009084A"/>
    <w:rsid w:val="000915A4"/>
    <w:rsid w:val="0009278C"/>
    <w:rsid w:val="00092939"/>
    <w:rsid w:val="0009621A"/>
    <w:rsid w:val="00097209"/>
    <w:rsid w:val="00097368"/>
    <w:rsid w:val="0009777E"/>
    <w:rsid w:val="000A0410"/>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2FD"/>
    <w:rsid w:val="000C364E"/>
    <w:rsid w:val="000C5D4C"/>
    <w:rsid w:val="000C5D86"/>
    <w:rsid w:val="000C7FC7"/>
    <w:rsid w:val="000D18C5"/>
    <w:rsid w:val="000D1EF9"/>
    <w:rsid w:val="000D2BF9"/>
    <w:rsid w:val="000D370A"/>
    <w:rsid w:val="000D4FA0"/>
    <w:rsid w:val="000D59AA"/>
    <w:rsid w:val="000D722D"/>
    <w:rsid w:val="000E1125"/>
    <w:rsid w:val="000E1940"/>
    <w:rsid w:val="000E1993"/>
    <w:rsid w:val="000E2765"/>
    <w:rsid w:val="000E3141"/>
    <w:rsid w:val="000E3B8A"/>
    <w:rsid w:val="000E4C9C"/>
    <w:rsid w:val="000E6AE2"/>
    <w:rsid w:val="000F0217"/>
    <w:rsid w:val="000F0A7B"/>
    <w:rsid w:val="000F451B"/>
    <w:rsid w:val="00100030"/>
    <w:rsid w:val="0010484A"/>
    <w:rsid w:val="00104C1F"/>
    <w:rsid w:val="00105AD3"/>
    <w:rsid w:val="00106BB7"/>
    <w:rsid w:val="00111C96"/>
    <w:rsid w:val="00111CE0"/>
    <w:rsid w:val="00111DF0"/>
    <w:rsid w:val="001135C5"/>
    <w:rsid w:val="001147C0"/>
    <w:rsid w:val="00114AAE"/>
    <w:rsid w:val="00120C30"/>
    <w:rsid w:val="00122BEF"/>
    <w:rsid w:val="001253A3"/>
    <w:rsid w:val="00126145"/>
    <w:rsid w:val="0012673B"/>
    <w:rsid w:val="001277F8"/>
    <w:rsid w:val="00130F84"/>
    <w:rsid w:val="001311B5"/>
    <w:rsid w:val="00131F75"/>
    <w:rsid w:val="0013288E"/>
    <w:rsid w:val="00134275"/>
    <w:rsid w:val="00134F6F"/>
    <w:rsid w:val="00137B0E"/>
    <w:rsid w:val="00137D4E"/>
    <w:rsid w:val="001400A0"/>
    <w:rsid w:val="001413B6"/>
    <w:rsid w:val="00141835"/>
    <w:rsid w:val="00144D47"/>
    <w:rsid w:val="00144E28"/>
    <w:rsid w:val="00145AFF"/>
    <w:rsid w:val="00147740"/>
    <w:rsid w:val="00150BAB"/>
    <w:rsid w:val="00155054"/>
    <w:rsid w:val="0015657D"/>
    <w:rsid w:val="00160A40"/>
    <w:rsid w:val="00160DA4"/>
    <w:rsid w:val="001627D9"/>
    <w:rsid w:val="0016373F"/>
    <w:rsid w:val="00164CA7"/>
    <w:rsid w:val="00171FF9"/>
    <w:rsid w:val="0017245C"/>
    <w:rsid w:val="00172A27"/>
    <w:rsid w:val="00172AF8"/>
    <w:rsid w:val="00173A68"/>
    <w:rsid w:val="00175874"/>
    <w:rsid w:val="001767E6"/>
    <w:rsid w:val="00176AC2"/>
    <w:rsid w:val="001802FB"/>
    <w:rsid w:val="001806A8"/>
    <w:rsid w:val="00180939"/>
    <w:rsid w:val="00180983"/>
    <w:rsid w:val="00182A00"/>
    <w:rsid w:val="0018310D"/>
    <w:rsid w:val="00184214"/>
    <w:rsid w:val="00184452"/>
    <w:rsid w:val="00187FEF"/>
    <w:rsid w:val="00190991"/>
    <w:rsid w:val="00190A8D"/>
    <w:rsid w:val="001930BE"/>
    <w:rsid w:val="0019400F"/>
    <w:rsid w:val="0019547D"/>
    <w:rsid w:val="00195E1F"/>
    <w:rsid w:val="00196645"/>
    <w:rsid w:val="00197997"/>
    <w:rsid w:val="001A0C8F"/>
    <w:rsid w:val="001A36F7"/>
    <w:rsid w:val="001A384E"/>
    <w:rsid w:val="001A3C20"/>
    <w:rsid w:val="001A4015"/>
    <w:rsid w:val="001A6AFD"/>
    <w:rsid w:val="001A6EDC"/>
    <w:rsid w:val="001B21A1"/>
    <w:rsid w:val="001B337C"/>
    <w:rsid w:val="001B5AE5"/>
    <w:rsid w:val="001B6439"/>
    <w:rsid w:val="001B7027"/>
    <w:rsid w:val="001B7C67"/>
    <w:rsid w:val="001C0CED"/>
    <w:rsid w:val="001C1105"/>
    <w:rsid w:val="001C17C6"/>
    <w:rsid w:val="001C18D3"/>
    <w:rsid w:val="001C22DE"/>
    <w:rsid w:val="001C27C7"/>
    <w:rsid w:val="001C3C4C"/>
    <w:rsid w:val="001C69FA"/>
    <w:rsid w:val="001C7B80"/>
    <w:rsid w:val="001D2914"/>
    <w:rsid w:val="001D292F"/>
    <w:rsid w:val="001D2FB0"/>
    <w:rsid w:val="001D3307"/>
    <w:rsid w:val="001D6044"/>
    <w:rsid w:val="001D68CB"/>
    <w:rsid w:val="001E0341"/>
    <w:rsid w:val="001E0995"/>
    <w:rsid w:val="001E0BDC"/>
    <w:rsid w:val="001E1C36"/>
    <w:rsid w:val="001E1E3C"/>
    <w:rsid w:val="001E347A"/>
    <w:rsid w:val="001E3D8C"/>
    <w:rsid w:val="001E43EF"/>
    <w:rsid w:val="001E44CD"/>
    <w:rsid w:val="001E6F40"/>
    <w:rsid w:val="001F33AC"/>
    <w:rsid w:val="001F3DF5"/>
    <w:rsid w:val="001F4346"/>
    <w:rsid w:val="001F5EDA"/>
    <w:rsid w:val="001F7E3A"/>
    <w:rsid w:val="00201FFE"/>
    <w:rsid w:val="00202C4B"/>
    <w:rsid w:val="00204080"/>
    <w:rsid w:val="00206380"/>
    <w:rsid w:val="00207FF6"/>
    <w:rsid w:val="00211F76"/>
    <w:rsid w:val="0021293D"/>
    <w:rsid w:val="002132A0"/>
    <w:rsid w:val="002155FA"/>
    <w:rsid w:val="00215AE0"/>
    <w:rsid w:val="00216A12"/>
    <w:rsid w:val="002176DE"/>
    <w:rsid w:val="00222656"/>
    <w:rsid w:val="0022388D"/>
    <w:rsid w:val="00223B64"/>
    <w:rsid w:val="00224B70"/>
    <w:rsid w:val="002257D7"/>
    <w:rsid w:val="0023029F"/>
    <w:rsid w:val="00231281"/>
    <w:rsid w:val="00231DC2"/>
    <w:rsid w:val="002331B6"/>
    <w:rsid w:val="002333B7"/>
    <w:rsid w:val="002344F2"/>
    <w:rsid w:val="002368E4"/>
    <w:rsid w:val="002414D9"/>
    <w:rsid w:val="00241832"/>
    <w:rsid w:val="0024359E"/>
    <w:rsid w:val="00244D42"/>
    <w:rsid w:val="00245560"/>
    <w:rsid w:val="00246FFA"/>
    <w:rsid w:val="00247076"/>
    <w:rsid w:val="00252B94"/>
    <w:rsid w:val="00255E19"/>
    <w:rsid w:val="002563B4"/>
    <w:rsid w:val="00256C2E"/>
    <w:rsid w:val="00257233"/>
    <w:rsid w:val="00257318"/>
    <w:rsid w:val="002600E3"/>
    <w:rsid w:val="00260716"/>
    <w:rsid w:val="0026193E"/>
    <w:rsid w:val="00261A9C"/>
    <w:rsid w:val="00262518"/>
    <w:rsid w:val="00262C9D"/>
    <w:rsid w:val="0026319B"/>
    <w:rsid w:val="00265433"/>
    <w:rsid w:val="0026731F"/>
    <w:rsid w:val="00267C01"/>
    <w:rsid w:val="00267D41"/>
    <w:rsid w:val="002700C4"/>
    <w:rsid w:val="00270A1C"/>
    <w:rsid w:val="00271ED8"/>
    <w:rsid w:val="00271FEE"/>
    <w:rsid w:val="00272572"/>
    <w:rsid w:val="0027271C"/>
    <w:rsid w:val="002730ED"/>
    <w:rsid w:val="0027451C"/>
    <w:rsid w:val="00275BC1"/>
    <w:rsid w:val="0027635A"/>
    <w:rsid w:val="00280857"/>
    <w:rsid w:val="002814D6"/>
    <w:rsid w:val="00281718"/>
    <w:rsid w:val="00281A52"/>
    <w:rsid w:val="00281B15"/>
    <w:rsid w:val="0028219B"/>
    <w:rsid w:val="002844B2"/>
    <w:rsid w:val="002855D0"/>
    <w:rsid w:val="002861FA"/>
    <w:rsid w:val="00290E18"/>
    <w:rsid w:val="00291D54"/>
    <w:rsid w:val="00292CED"/>
    <w:rsid w:val="0029413A"/>
    <w:rsid w:val="00294ECF"/>
    <w:rsid w:val="00295950"/>
    <w:rsid w:val="00296662"/>
    <w:rsid w:val="00296690"/>
    <w:rsid w:val="002967CE"/>
    <w:rsid w:val="00296D21"/>
    <w:rsid w:val="00297A88"/>
    <w:rsid w:val="002A17AC"/>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797"/>
    <w:rsid w:val="002D4AFB"/>
    <w:rsid w:val="002D55C0"/>
    <w:rsid w:val="002D583E"/>
    <w:rsid w:val="002D6461"/>
    <w:rsid w:val="002D650F"/>
    <w:rsid w:val="002D6D55"/>
    <w:rsid w:val="002D6E18"/>
    <w:rsid w:val="002D6F1F"/>
    <w:rsid w:val="002E002E"/>
    <w:rsid w:val="002E28F9"/>
    <w:rsid w:val="002E361D"/>
    <w:rsid w:val="002E41F8"/>
    <w:rsid w:val="002E6F59"/>
    <w:rsid w:val="002E7525"/>
    <w:rsid w:val="002E7663"/>
    <w:rsid w:val="002E7C9E"/>
    <w:rsid w:val="002F01CA"/>
    <w:rsid w:val="002F1163"/>
    <w:rsid w:val="002F23E8"/>
    <w:rsid w:val="002F2D00"/>
    <w:rsid w:val="002F3161"/>
    <w:rsid w:val="002F4528"/>
    <w:rsid w:val="002F4F99"/>
    <w:rsid w:val="002F50DB"/>
    <w:rsid w:val="002F5517"/>
    <w:rsid w:val="002F5CE0"/>
    <w:rsid w:val="003024EA"/>
    <w:rsid w:val="00303C87"/>
    <w:rsid w:val="00305358"/>
    <w:rsid w:val="003063B6"/>
    <w:rsid w:val="0030650B"/>
    <w:rsid w:val="00306941"/>
    <w:rsid w:val="00310D27"/>
    <w:rsid w:val="00311826"/>
    <w:rsid w:val="00312C1A"/>
    <w:rsid w:val="00312DD1"/>
    <w:rsid w:val="00313308"/>
    <w:rsid w:val="003144CA"/>
    <w:rsid w:val="003148F6"/>
    <w:rsid w:val="00314995"/>
    <w:rsid w:val="003171FD"/>
    <w:rsid w:val="003177B1"/>
    <w:rsid w:val="00321077"/>
    <w:rsid w:val="00322EDB"/>
    <w:rsid w:val="003268BB"/>
    <w:rsid w:val="00330072"/>
    <w:rsid w:val="00330B4E"/>
    <w:rsid w:val="0033176D"/>
    <w:rsid w:val="00331858"/>
    <w:rsid w:val="0033380C"/>
    <w:rsid w:val="00333D6C"/>
    <w:rsid w:val="0033426F"/>
    <w:rsid w:val="00335B60"/>
    <w:rsid w:val="00335E3D"/>
    <w:rsid w:val="00336046"/>
    <w:rsid w:val="003402E6"/>
    <w:rsid w:val="0034042F"/>
    <w:rsid w:val="00340AAF"/>
    <w:rsid w:val="00341C85"/>
    <w:rsid w:val="0034220A"/>
    <w:rsid w:val="003436BE"/>
    <w:rsid w:val="00343946"/>
    <w:rsid w:val="00345FC0"/>
    <w:rsid w:val="003469FC"/>
    <w:rsid w:val="003472E7"/>
    <w:rsid w:val="00347800"/>
    <w:rsid w:val="00347C14"/>
    <w:rsid w:val="003504B5"/>
    <w:rsid w:val="003546A6"/>
    <w:rsid w:val="00354915"/>
    <w:rsid w:val="00354E6F"/>
    <w:rsid w:val="00357465"/>
    <w:rsid w:val="003577BE"/>
    <w:rsid w:val="003577F5"/>
    <w:rsid w:val="003601A9"/>
    <w:rsid w:val="00362FCF"/>
    <w:rsid w:val="003636E6"/>
    <w:rsid w:val="0036468F"/>
    <w:rsid w:val="00366993"/>
    <w:rsid w:val="0037079D"/>
    <w:rsid w:val="00370E0A"/>
    <w:rsid w:val="00371876"/>
    <w:rsid w:val="00371DAE"/>
    <w:rsid w:val="0037293C"/>
    <w:rsid w:val="00372C00"/>
    <w:rsid w:val="0037416C"/>
    <w:rsid w:val="003764F0"/>
    <w:rsid w:val="00376C20"/>
    <w:rsid w:val="00377A1D"/>
    <w:rsid w:val="00381312"/>
    <w:rsid w:val="00381786"/>
    <w:rsid w:val="00382FAE"/>
    <w:rsid w:val="003832DC"/>
    <w:rsid w:val="00384541"/>
    <w:rsid w:val="00385C87"/>
    <w:rsid w:val="00386B90"/>
    <w:rsid w:val="00387F14"/>
    <w:rsid w:val="00391402"/>
    <w:rsid w:val="003918F4"/>
    <w:rsid w:val="00391F87"/>
    <w:rsid w:val="00393338"/>
    <w:rsid w:val="00394FC5"/>
    <w:rsid w:val="00396952"/>
    <w:rsid w:val="003A0737"/>
    <w:rsid w:val="003A150D"/>
    <w:rsid w:val="003A1B24"/>
    <w:rsid w:val="003A2A06"/>
    <w:rsid w:val="003A3ACC"/>
    <w:rsid w:val="003A4C78"/>
    <w:rsid w:val="003A552B"/>
    <w:rsid w:val="003A5554"/>
    <w:rsid w:val="003A6CD0"/>
    <w:rsid w:val="003B1164"/>
    <w:rsid w:val="003B132E"/>
    <w:rsid w:val="003B139B"/>
    <w:rsid w:val="003B1738"/>
    <w:rsid w:val="003B3A50"/>
    <w:rsid w:val="003B409D"/>
    <w:rsid w:val="003B42C7"/>
    <w:rsid w:val="003B448B"/>
    <w:rsid w:val="003B56A0"/>
    <w:rsid w:val="003B6027"/>
    <w:rsid w:val="003B676B"/>
    <w:rsid w:val="003C3E62"/>
    <w:rsid w:val="003C4558"/>
    <w:rsid w:val="003C5FDC"/>
    <w:rsid w:val="003D01E0"/>
    <w:rsid w:val="003D03EC"/>
    <w:rsid w:val="003D0EF8"/>
    <w:rsid w:val="003D1455"/>
    <w:rsid w:val="003D2840"/>
    <w:rsid w:val="003D2B72"/>
    <w:rsid w:val="003D42C7"/>
    <w:rsid w:val="003D4964"/>
    <w:rsid w:val="003D6201"/>
    <w:rsid w:val="003D7765"/>
    <w:rsid w:val="003E0DAA"/>
    <w:rsid w:val="003E1518"/>
    <w:rsid w:val="003E235E"/>
    <w:rsid w:val="003E3E67"/>
    <w:rsid w:val="003E42F6"/>
    <w:rsid w:val="003E4381"/>
    <w:rsid w:val="003E48E7"/>
    <w:rsid w:val="003E6A00"/>
    <w:rsid w:val="003E7C95"/>
    <w:rsid w:val="003E7D68"/>
    <w:rsid w:val="003F0EA6"/>
    <w:rsid w:val="003F1437"/>
    <w:rsid w:val="003F220A"/>
    <w:rsid w:val="003F2A8D"/>
    <w:rsid w:val="003F2B9F"/>
    <w:rsid w:val="003F3790"/>
    <w:rsid w:val="003F448B"/>
    <w:rsid w:val="003F58F6"/>
    <w:rsid w:val="003F5DC1"/>
    <w:rsid w:val="003F6316"/>
    <w:rsid w:val="00401149"/>
    <w:rsid w:val="00402720"/>
    <w:rsid w:val="00402985"/>
    <w:rsid w:val="00403416"/>
    <w:rsid w:val="00403BAA"/>
    <w:rsid w:val="00406593"/>
    <w:rsid w:val="004069B2"/>
    <w:rsid w:val="00410408"/>
    <w:rsid w:val="00413229"/>
    <w:rsid w:val="00413495"/>
    <w:rsid w:val="00413879"/>
    <w:rsid w:val="00421BC3"/>
    <w:rsid w:val="004228A3"/>
    <w:rsid w:val="004229AC"/>
    <w:rsid w:val="00423D3B"/>
    <w:rsid w:val="00424172"/>
    <w:rsid w:val="004245A3"/>
    <w:rsid w:val="00424A48"/>
    <w:rsid w:val="004274EC"/>
    <w:rsid w:val="00427917"/>
    <w:rsid w:val="0043178A"/>
    <w:rsid w:val="0043216B"/>
    <w:rsid w:val="00436238"/>
    <w:rsid w:val="00441EB5"/>
    <w:rsid w:val="00442910"/>
    <w:rsid w:val="004431CC"/>
    <w:rsid w:val="0044341B"/>
    <w:rsid w:val="00443D84"/>
    <w:rsid w:val="00444F7D"/>
    <w:rsid w:val="00445007"/>
    <w:rsid w:val="00445576"/>
    <w:rsid w:val="00446514"/>
    <w:rsid w:val="00446A9B"/>
    <w:rsid w:val="00446E8C"/>
    <w:rsid w:val="00446FED"/>
    <w:rsid w:val="0045201C"/>
    <w:rsid w:val="00452DD1"/>
    <w:rsid w:val="00453750"/>
    <w:rsid w:val="00453CD6"/>
    <w:rsid w:val="00455976"/>
    <w:rsid w:val="00456668"/>
    <w:rsid w:val="00456BC4"/>
    <w:rsid w:val="00457B85"/>
    <w:rsid w:val="0046088D"/>
    <w:rsid w:val="00460FF4"/>
    <w:rsid w:val="00462F02"/>
    <w:rsid w:val="00465777"/>
    <w:rsid w:val="00466EDC"/>
    <w:rsid w:val="00467368"/>
    <w:rsid w:val="00467D25"/>
    <w:rsid w:val="00470697"/>
    <w:rsid w:val="00470FC6"/>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176F"/>
    <w:rsid w:val="00492EA5"/>
    <w:rsid w:val="004931C8"/>
    <w:rsid w:val="00493247"/>
    <w:rsid w:val="00493462"/>
    <w:rsid w:val="004A0053"/>
    <w:rsid w:val="004A0BD2"/>
    <w:rsid w:val="004A2687"/>
    <w:rsid w:val="004A377D"/>
    <w:rsid w:val="004A402F"/>
    <w:rsid w:val="004A6761"/>
    <w:rsid w:val="004B2B05"/>
    <w:rsid w:val="004B2BBA"/>
    <w:rsid w:val="004B3425"/>
    <w:rsid w:val="004B500A"/>
    <w:rsid w:val="004B5AB8"/>
    <w:rsid w:val="004B6B21"/>
    <w:rsid w:val="004B71F4"/>
    <w:rsid w:val="004B76B6"/>
    <w:rsid w:val="004B7EA1"/>
    <w:rsid w:val="004C0B5E"/>
    <w:rsid w:val="004C16C3"/>
    <w:rsid w:val="004C16F8"/>
    <w:rsid w:val="004C3E66"/>
    <w:rsid w:val="004C4244"/>
    <w:rsid w:val="004C6313"/>
    <w:rsid w:val="004C63EE"/>
    <w:rsid w:val="004C69F0"/>
    <w:rsid w:val="004D05D8"/>
    <w:rsid w:val="004D0970"/>
    <w:rsid w:val="004D1073"/>
    <w:rsid w:val="004D1EE6"/>
    <w:rsid w:val="004D238B"/>
    <w:rsid w:val="004D39A3"/>
    <w:rsid w:val="004D6EDD"/>
    <w:rsid w:val="004D7034"/>
    <w:rsid w:val="004E06BE"/>
    <w:rsid w:val="004E0BAF"/>
    <w:rsid w:val="004E3A45"/>
    <w:rsid w:val="004E3B7D"/>
    <w:rsid w:val="004E3E3E"/>
    <w:rsid w:val="004E40C6"/>
    <w:rsid w:val="004E4673"/>
    <w:rsid w:val="004E5219"/>
    <w:rsid w:val="004E5753"/>
    <w:rsid w:val="004E7623"/>
    <w:rsid w:val="004F10CA"/>
    <w:rsid w:val="004F4675"/>
    <w:rsid w:val="004F557E"/>
    <w:rsid w:val="004F5977"/>
    <w:rsid w:val="004F7762"/>
    <w:rsid w:val="00501570"/>
    <w:rsid w:val="005017DA"/>
    <w:rsid w:val="0050411A"/>
    <w:rsid w:val="0050472D"/>
    <w:rsid w:val="00505C1E"/>
    <w:rsid w:val="0050619E"/>
    <w:rsid w:val="005069E2"/>
    <w:rsid w:val="00506B0D"/>
    <w:rsid w:val="00506BCB"/>
    <w:rsid w:val="00506DE6"/>
    <w:rsid w:val="00506E51"/>
    <w:rsid w:val="0051029C"/>
    <w:rsid w:val="005105D2"/>
    <w:rsid w:val="005110A2"/>
    <w:rsid w:val="005131DA"/>
    <w:rsid w:val="00513C0B"/>
    <w:rsid w:val="005146EB"/>
    <w:rsid w:val="00516764"/>
    <w:rsid w:val="0052138B"/>
    <w:rsid w:val="005214BE"/>
    <w:rsid w:val="005219AA"/>
    <w:rsid w:val="00522736"/>
    <w:rsid w:val="00523370"/>
    <w:rsid w:val="005235B4"/>
    <w:rsid w:val="00524565"/>
    <w:rsid w:val="00525585"/>
    <w:rsid w:val="0052657B"/>
    <w:rsid w:val="005312B1"/>
    <w:rsid w:val="005344B3"/>
    <w:rsid w:val="00534869"/>
    <w:rsid w:val="00534D4B"/>
    <w:rsid w:val="005371D2"/>
    <w:rsid w:val="00537528"/>
    <w:rsid w:val="0054034E"/>
    <w:rsid w:val="00542ED7"/>
    <w:rsid w:val="00545A76"/>
    <w:rsid w:val="005506C7"/>
    <w:rsid w:val="00550E39"/>
    <w:rsid w:val="005514AA"/>
    <w:rsid w:val="0055500E"/>
    <w:rsid w:val="005557B3"/>
    <w:rsid w:val="00555A68"/>
    <w:rsid w:val="0055689F"/>
    <w:rsid w:val="00556F21"/>
    <w:rsid w:val="005603EF"/>
    <w:rsid w:val="00561349"/>
    <w:rsid w:val="00562AA1"/>
    <w:rsid w:val="00562B8C"/>
    <w:rsid w:val="00562C69"/>
    <w:rsid w:val="00563198"/>
    <w:rsid w:val="00564098"/>
    <w:rsid w:val="0056533C"/>
    <w:rsid w:val="005657FC"/>
    <w:rsid w:val="00567054"/>
    <w:rsid w:val="00567294"/>
    <w:rsid w:val="00567A9A"/>
    <w:rsid w:val="00570240"/>
    <w:rsid w:val="00570FEC"/>
    <w:rsid w:val="005714C0"/>
    <w:rsid w:val="00571902"/>
    <w:rsid w:val="00571A8C"/>
    <w:rsid w:val="00572427"/>
    <w:rsid w:val="0057377D"/>
    <w:rsid w:val="005763B9"/>
    <w:rsid w:val="00580518"/>
    <w:rsid w:val="00585DF6"/>
    <w:rsid w:val="00585E04"/>
    <w:rsid w:val="005910DD"/>
    <w:rsid w:val="005920BC"/>
    <w:rsid w:val="005940C1"/>
    <w:rsid w:val="0059566C"/>
    <w:rsid w:val="00595711"/>
    <w:rsid w:val="0059585E"/>
    <w:rsid w:val="005A153F"/>
    <w:rsid w:val="005A3156"/>
    <w:rsid w:val="005A53DF"/>
    <w:rsid w:val="005A6185"/>
    <w:rsid w:val="005B052E"/>
    <w:rsid w:val="005B0B2E"/>
    <w:rsid w:val="005B127E"/>
    <w:rsid w:val="005B220B"/>
    <w:rsid w:val="005B2E19"/>
    <w:rsid w:val="005B4365"/>
    <w:rsid w:val="005B5956"/>
    <w:rsid w:val="005B5A91"/>
    <w:rsid w:val="005B66D2"/>
    <w:rsid w:val="005B7842"/>
    <w:rsid w:val="005C1AC7"/>
    <w:rsid w:val="005C20A4"/>
    <w:rsid w:val="005C2356"/>
    <w:rsid w:val="005C4591"/>
    <w:rsid w:val="005C6BDD"/>
    <w:rsid w:val="005C6D0C"/>
    <w:rsid w:val="005C72CB"/>
    <w:rsid w:val="005D0523"/>
    <w:rsid w:val="005D1368"/>
    <w:rsid w:val="005D57F1"/>
    <w:rsid w:val="005D680C"/>
    <w:rsid w:val="005E06D3"/>
    <w:rsid w:val="005E27C0"/>
    <w:rsid w:val="005E31E8"/>
    <w:rsid w:val="005E4F1C"/>
    <w:rsid w:val="005F097D"/>
    <w:rsid w:val="005F1004"/>
    <w:rsid w:val="005F174C"/>
    <w:rsid w:val="005F1FAE"/>
    <w:rsid w:val="005F1FC2"/>
    <w:rsid w:val="005F35D0"/>
    <w:rsid w:val="005F42AD"/>
    <w:rsid w:val="005F507D"/>
    <w:rsid w:val="005F52FC"/>
    <w:rsid w:val="005F56A6"/>
    <w:rsid w:val="005F5E93"/>
    <w:rsid w:val="005F6041"/>
    <w:rsid w:val="005F797B"/>
    <w:rsid w:val="005F7E99"/>
    <w:rsid w:val="00600492"/>
    <w:rsid w:val="00601081"/>
    <w:rsid w:val="006012C6"/>
    <w:rsid w:val="0060145D"/>
    <w:rsid w:val="00603239"/>
    <w:rsid w:val="0060473D"/>
    <w:rsid w:val="006053DC"/>
    <w:rsid w:val="00605AF2"/>
    <w:rsid w:val="00607A61"/>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DD8"/>
    <w:rsid w:val="00634F89"/>
    <w:rsid w:val="006357BD"/>
    <w:rsid w:val="006358DF"/>
    <w:rsid w:val="006408DC"/>
    <w:rsid w:val="006413AD"/>
    <w:rsid w:val="006422C6"/>
    <w:rsid w:val="00643A7A"/>
    <w:rsid w:val="0064545A"/>
    <w:rsid w:val="00647D0B"/>
    <w:rsid w:val="006503F8"/>
    <w:rsid w:val="00650D0F"/>
    <w:rsid w:val="00651856"/>
    <w:rsid w:val="006521E7"/>
    <w:rsid w:val="006521F2"/>
    <w:rsid w:val="00652646"/>
    <w:rsid w:val="0065506A"/>
    <w:rsid w:val="0065579F"/>
    <w:rsid w:val="00657CC9"/>
    <w:rsid w:val="00657F4F"/>
    <w:rsid w:val="00665497"/>
    <w:rsid w:val="0066737C"/>
    <w:rsid w:val="00667AEB"/>
    <w:rsid w:val="00670351"/>
    <w:rsid w:val="006706AA"/>
    <w:rsid w:val="006718B7"/>
    <w:rsid w:val="00672632"/>
    <w:rsid w:val="00673154"/>
    <w:rsid w:val="00673A1F"/>
    <w:rsid w:val="006746B2"/>
    <w:rsid w:val="0067540D"/>
    <w:rsid w:val="00676653"/>
    <w:rsid w:val="00676B15"/>
    <w:rsid w:val="00680EC8"/>
    <w:rsid w:val="0068365D"/>
    <w:rsid w:val="0068430C"/>
    <w:rsid w:val="00685237"/>
    <w:rsid w:val="006854C9"/>
    <w:rsid w:val="006867C4"/>
    <w:rsid w:val="00690BB8"/>
    <w:rsid w:val="0069144C"/>
    <w:rsid w:val="0069161A"/>
    <w:rsid w:val="0069189C"/>
    <w:rsid w:val="00691E28"/>
    <w:rsid w:val="006954BD"/>
    <w:rsid w:val="006978B2"/>
    <w:rsid w:val="00697DD7"/>
    <w:rsid w:val="006A0BB0"/>
    <w:rsid w:val="006A0E75"/>
    <w:rsid w:val="006A13EC"/>
    <w:rsid w:val="006A451F"/>
    <w:rsid w:val="006A67C2"/>
    <w:rsid w:val="006A6A31"/>
    <w:rsid w:val="006A6BFD"/>
    <w:rsid w:val="006B0BCD"/>
    <w:rsid w:val="006B0CBE"/>
    <w:rsid w:val="006B0D95"/>
    <w:rsid w:val="006B1969"/>
    <w:rsid w:val="006B2F1E"/>
    <w:rsid w:val="006B37FA"/>
    <w:rsid w:val="006B3DD7"/>
    <w:rsid w:val="006B48F1"/>
    <w:rsid w:val="006B50AF"/>
    <w:rsid w:val="006C0F7A"/>
    <w:rsid w:val="006C200E"/>
    <w:rsid w:val="006C2D21"/>
    <w:rsid w:val="006C60A2"/>
    <w:rsid w:val="006C6193"/>
    <w:rsid w:val="006C6DC4"/>
    <w:rsid w:val="006D3223"/>
    <w:rsid w:val="006D4BBE"/>
    <w:rsid w:val="006D5430"/>
    <w:rsid w:val="006D63EF"/>
    <w:rsid w:val="006D710C"/>
    <w:rsid w:val="006D71AC"/>
    <w:rsid w:val="006D7CA8"/>
    <w:rsid w:val="006E1EE7"/>
    <w:rsid w:val="006E2FE4"/>
    <w:rsid w:val="006E36C6"/>
    <w:rsid w:val="006E3B73"/>
    <w:rsid w:val="006E4CAF"/>
    <w:rsid w:val="006E7570"/>
    <w:rsid w:val="006F12EE"/>
    <w:rsid w:val="006F1DE8"/>
    <w:rsid w:val="006F2252"/>
    <w:rsid w:val="006F259F"/>
    <w:rsid w:val="006F3D72"/>
    <w:rsid w:val="006F3FB1"/>
    <w:rsid w:val="006F4B94"/>
    <w:rsid w:val="006F511B"/>
    <w:rsid w:val="006F55EB"/>
    <w:rsid w:val="006F5676"/>
    <w:rsid w:val="006F5C1B"/>
    <w:rsid w:val="006F6130"/>
    <w:rsid w:val="006F6B71"/>
    <w:rsid w:val="006F6C14"/>
    <w:rsid w:val="006F6CFF"/>
    <w:rsid w:val="006F6EB8"/>
    <w:rsid w:val="006F72DD"/>
    <w:rsid w:val="0070393B"/>
    <w:rsid w:val="00704BC7"/>
    <w:rsid w:val="007051AF"/>
    <w:rsid w:val="00705E84"/>
    <w:rsid w:val="00705FA1"/>
    <w:rsid w:val="00707E83"/>
    <w:rsid w:val="007116B3"/>
    <w:rsid w:val="00711E45"/>
    <w:rsid w:val="00711F8D"/>
    <w:rsid w:val="00713731"/>
    <w:rsid w:val="007150F3"/>
    <w:rsid w:val="007162E6"/>
    <w:rsid w:val="007165BE"/>
    <w:rsid w:val="007200FA"/>
    <w:rsid w:val="00721635"/>
    <w:rsid w:val="00723530"/>
    <w:rsid w:val="007258A0"/>
    <w:rsid w:val="00725CC4"/>
    <w:rsid w:val="00726958"/>
    <w:rsid w:val="00727D4D"/>
    <w:rsid w:val="00730980"/>
    <w:rsid w:val="00731322"/>
    <w:rsid w:val="00731E30"/>
    <w:rsid w:val="0073217A"/>
    <w:rsid w:val="00736CDD"/>
    <w:rsid w:val="00736FEF"/>
    <w:rsid w:val="00737516"/>
    <w:rsid w:val="00741230"/>
    <w:rsid w:val="00741381"/>
    <w:rsid w:val="0074310F"/>
    <w:rsid w:val="00743261"/>
    <w:rsid w:val="0074502E"/>
    <w:rsid w:val="00745C1D"/>
    <w:rsid w:val="007470BE"/>
    <w:rsid w:val="007517C3"/>
    <w:rsid w:val="00751F23"/>
    <w:rsid w:val="00752761"/>
    <w:rsid w:val="007566B3"/>
    <w:rsid w:val="0075692E"/>
    <w:rsid w:val="007573D2"/>
    <w:rsid w:val="007577AC"/>
    <w:rsid w:val="00760036"/>
    <w:rsid w:val="00760C49"/>
    <w:rsid w:val="007621D5"/>
    <w:rsid w:val="007626A2"/>
    <w:rsid w:val="00762D71"/>
    <w:rsid w:val="007651F0"/>
    <w:rsid w:val="00765D32"/>
    <w:rsid w:val="007705A1"/>
    <w:rsid w:val="00770F43"/>
    <w:rsid w:val="00771468"/>
    <w:rsid w:val="007719AC"/>
    <w:rsid w:val="0077202D"/>
    <w:rsid w:val="00772393"/>
    <w:rsid w:val="00773686"/>
    <w:rsid w:val="00776AD0"/>
    <w:rsid w:val="00782F79"/>
    <w:rsid w:val="007832D8"/>
    <w:rsid w:val="00787A57"/>
    <w:rsid w:val="00787B7D"/>
    <w:rsid w:val="00790647"/>
    <w:rsid w:val="00792D48"/>
    <w:rsid w:val="00793203"/>
    <w:rsid w:val="007943BB"/>
    <w:rsid w:val="00795931"/>
    <w:rsid w:val="00796061"/>
    <w:rsid w:val="00796A2A"/>
    <w:rsid w:val="00796A38"/>
    <w:rsid w:val="00796C31"/>
    <w:rsid w:val="00797C01"/>
    <w:rsid w:val="007A0183"/>
    <w:rsid w:val="007A053E"/>
    <w:rsid w:val="007A2A69"/>
    <w:rsid w:val="007A3BED"/>
    <w:rsid w:val="007A5503"/>
    <w:rsid w:val="007A627F"/>
    <w:rsid w:val="007A6821"/>
    <w:rsid w:val="007B055F"/>
    <w:rsid w:val="007B0BAC"/>
    <w:rsid w:val="007B118F"/>
    <w:rsid w:val="007B13C6"/>
    <w:rsid w:val="007B312F"/>
    <w:rsid w:val="007B3EE9"/>
    <w:rsid w:val="007B4B41"/>
    <w:rsid w:val="007B6028"/>
    <w:rsid w:val="007C0BA7"/>
    <w:rsid w:val="007C10F9"/>
    <w:rsid w:val="007C1244"/>
    <w:rsid w:val="007C1A92"/>
    <w:rsid w:val="007C33E4"/>
    <w:rsid w:val="007C41B3"/>
    <w:rsid w:val="007C44F4"/>
    <w:rsid w:val="007C4841"/>
    <w:rsid w:val="007C5C75"/>
    <w:rsid w:val="007C6BFB"/>
    <w:rsid w:val="007C7AC0"/>
    <w:rsid w:val="007D0E38"/>
    <w:rsid w:val="007D2587"/>
    <w:rsid w:val="007D2DC4"/>
    <w:rsid w:val="007D34C8"/>
    <w:rsid w:val="007D36F2"/>
    <w:rsid w:val="007D5A25"/>
    <w:rsid w:val="007E0E51"/>
    <w:rsid w:val="007E0F24"/>
    <w:rsid w:val="007E17B1"/>
    <w:rsid w:val="007E2543"/>
    <w:rsid w:val="007E27C0"/>
    <w:rsid w:val="007E2F5D"/>
    <w:rsid w:val="007E3C82"/>
    <w:rsid w:val="007E4716"/>
    <w:rsid w:val="007E6E32"/>
    <w:rsid w:val="007E7487"/>
    <w:rsid w:val="007E771D"/>
    <w:rsid w:val="007F3DA7"/>
    <w:rsid w:val="007F4203"/>
    <w:rsid w:val="007F4290"/>
    <w:rsid w:val="007F502E"/>
    <w:rsid w:val="007F65F6"/>
    <w:rsid w:val="007F6A42"/>
    <w:rsid w:val="007F7A9A"/>
    <w:rsid w:val="00800F2C"/>
    <w:rsid w:val="008013CA"/>
    <w:rsid w:val="00802556"/>
    <w:rsid w:val="00802E86"/>
    <w:rsid w:val="008056CF"/>
    <w:rsid w:val="00806C7C"/>
    <w:rsid w:val="0080728E"/>
    <w:rsid w:val="008115AD"/>
    <w:rsid w:val="00811CC1"/>
    <w:rsid w:val="00811E35"/>
    <w:rsid w:val="00812EF1"/>
    <w:rsid w:val="00813337"/>
    <w:rsid w:val="00814945"/>
    <w:rsid w:val="00814985"/>
    <w:rsid w:val="008155A0"/>
    <w:rsid w:val="008160BF"/>
    <w:rsid w:val="00816F96"/>
    <w:rsid w:val="008175D4"/>
    <w:rsid w:val="00822C19"/>
    <w:rsid w:val="00823AF8"/>
    <w:rsid w:val="008253CF"/>
    <w:rsid w:val="00825B25"/>
    <w:rsid w:val="00832ADC"/>
    <w:rsid w:val="008343F2"/>
    <w:rsid w:val="00835293"/>
    <w:rsid w:val="00835356"/>
    <w:rsid w:val="00836941"/>
    <w:rsid w:val="00836D5A"/>
    <w:rsid w:val="0083795A"/>
    <w:rsid w:val="00837C9F"/>
    <w:rsid w:val="00843379"/>
    <w:rsid w:val="008436F0"/>
    <w:rsid w:val="00843C74"/>
    <w:rsid w:val="00843DAA"/>
    <w:rsid w:val="00843F40"/>
    <w:rsid w:val="00845019"/>
    <w:rsid w:val="0084505E"/>
    <w:rsid w:val="008505B6"/>
    <w:rsid w:val="00850AD1"/>
    <w:rsid w:val="00851A3E"/>
    <w:rsid w:val="00852259"/>
    <w:rsid w:val="008529ED"/>
    <w:rsid w:val="00853419"/>
    <w:rsid w:val="00853E87"/>
    <w:rsid w:val="008547FB"/>
    <w:rsid w:val="00855CBD"/>
    <w:rsid w:val="00856F99"/>
    <w:rsid w:val="00857625"/>
    <w:rsid w:val="00857E3C"/>
    <w:rsid w:val="00860FE6"/>
    <w:rsid w:val="008636BD"/>
    <w:rsid w:val="00864683"/>
    <w:rsid w:val="00864D17"/>
    <w:rsid w:val="008719DB"/>
    <w:rsid w:val="00872250"/>
    <w:rsid w:val="008727F2"/>
    <w:rsid w:val="008731B8"/>
    <w:rsid w:val="0087381D"/>
    <w:rsid w:val="00873D16"/>
    <w:rsid w:val="00875049"/>
    <w:rsid w:val="00875CB9"/>
    <w:rsid w:val="00875F0E"/>
    <w:rsid w:val="00880F6C"/>
    <w:rsid w:val="008855E2"/>
    <w:rsid w:val="00886521"/>
    <w:rsid w:val="00886648"/>
    <w:rsid w:val="00887886"/>
    <w:rsid w:val="008937A3"/>
    <w:rsid w:val="00893BC6"/>
    <w:rsid w:val="008943A1"/>
    <w:rsid w:val="00894705"/>
    <w:rsid w:val="0089509A"/>
    <w:rsid w:val="00895C60"/>
    <w:rsid w:val="008A1E93"/>
    <w:rsid w:val="008A2A33"/>
    <w:rsid w:val="008A4FE1"/>
    <w:rsid w:val="008A5E28"/>
    <w:rsid w:val="008A64DE"/>
    <w:rsid w:val="008B3CA8"/>
    <w:rsid w:val="008B4198"/>
    <w:rsid w:val="008B4609"/>
    <w:rsid w:val="008B50B6"/>
    <w:rsid w:val="008B725C"/>
    <w:rsid w:val="008B7CF3"/>
    <w:rsid w:val="008C0EE9"/>
    <w:rsid w:val="008C1D6D"/>
    <w:rsid w:val="008C2184"/>
    <w:rsid w:val="008C3C8F"/>
    <w:rsid w:val="008C3F98"/>
    <w:rsid w:val="008C7335"/>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C94"/>
    <w:rsid w:val="008F2453"/>
    <w:rsid w:val="008F252E"/>
    <w:rsid w:val="008F2CA5"/>
    <w:rsid w:val="008F34E9"/>
    <w:rsid w:val="00901AA5"/>
    <w:rsid w:val="00901D0C"/>
    <w:rsid w:val="00902740"/>
    <w:rsid w:val="00902833"/>
    <w:rsid w:val="00902C4E"/>
    <w:rsid w:val="009032D6"/>
    <w:rsid w:val="009039E2"/>
    <w:rsid w:val="00905D5B"/>
    <w:rsid w:val="00906BB5"/>
    <w:rsid w:val="0091196A"/>
    <w:rsid w:val="00911DC9"/>
    <w:rsid w:val="009123FF"/>
    <w:rsid w:val="009125FE"/>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346BD"/>
    <w:rsid w:val="009400CF"/>
    <w:rsid w:val="00940533"/>
    <w:rsid w:val="00941097"/>
    <w:rsid w:val="00942498"/>
    <w:rsid w:val="00942B78"/>
    <w:rsid w:val="009432FE"/>
    <w:rsid w:val="009438F8"/>
    <w:rsid w:val="00944414"/>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43F2"/>
    <w:rsid w:val="00985DB7"/>
    <w:rsid w:val="00986B3C"/>
    <w:rsid w:val="00986D44"/>
    <w:rsid w:val="00987F59"/>
    <w:rsid w:val="009903A8"/>
    <w:rsid w:val="00990D43"/>
    <w:rsid w:val="00991070"/>
    <w:rsid w:val="00991C84"/>
    <w:rsid w:val="00992DCD"/>
    <w:rsid w:val="00994702"/>
    <w:rsid w:val="00996E62"/>
    <w:rsid w:val="00997875"/>
    <w:rsid w:val="00997D39"/>
    <w:rsid w:val="00997FD5"/>
    <w:rsid w:val="009A1CA8"/>
    <w:rsid w:val="009A2CA9"/>
    <w:rsid w:val="009A3428"/>
    <w:rsid w:val="009A5082"/>
    <w:rsid w:val="009A618E"/>
    <w:rsid w:val="009B0655"/>
    <w:rsid w:val="009B11B9"/>
    <w:rsid w:val="009B155B"/>
    <w:rsid w:val="009B183F"/>
    <w:rsid w:val="009B1F5B"/>
    <w:rsid w:val="009B3BA9"/>
    <w:rsid w:val="009B3DB8"/>
    <w:rsid w:val="009B4769"/>
    <w:rsid w:val="009B5473"/>
    <w:rsid w:val="009C0634"/>
    <w:rsid w:val="009C2086"/>
    <w:rsid w:val="009C3006"/>
    <w:rsid w:val="009D159F"/>
    <w:rsid w:val="009D1912"/>
    <w:rsid w:val="009D1A92"/>
    <w:rsid w:val="009D2A16"/>
    <w:rsid w:val="009D344B"/>
    <w:rsid w:val="009D46B4"/>
    <w:rsid w:val="009D6952"/>
    <w:rsid w:val="009E068F"/>
    <w:rsid w:val="009E1B89"/>
    <w:rsid w:val="009E217B"/>
    <w:rsid w:val="009E3971"/>
    <w:rsid w:val="009E47B7"/>
    <w:rsid w:val="009E58C2"/>
    <w:rsid w:val="009E619C"/>
    <w:rsid w:val="009E7020"/>
    <w:rsid w:val="009E7045"/>
    <w:rsid w:val="009E748B"/>
    <w:rsid w:val="009E78AF"/>
    <w:rsid w:val="009F0307"/>
    <w:rsid w:val="009F141A"/>
    <w:rsid w:val="009F2244"/>
    <w:rsid w:val="009F3808"/>
    <w:rsid w:val="009F3839"/>
    <w:rsid w:val="009F3D12"/>
    <w:rsid w:val="009F53F2"/>
    <w:rsid w:val="009F5FBC"/>
    <w:rsid w:val="009F6383"/>
    <w:rsid w:val="00A00904"/>
    <w:rsid w:val="00A00E96"/>
    <w:rsid w:val="00A03D3F"/>
    <w:rsid w:val="00A040ED"/>
    <w:rsid w:val="00A047F9"/>
    <w:rsid w:val="00A049AC"/>
    <w:rsid w:val="00A04BEB"/>
    <w:rsid w:val="00A04DE2"/>
    <w:rsid w:val="00A05B4F"/>
    <w:rsid w:val="00A07A65"/>
    <w:rsid w:val="00A07E9D"/>
    <w:rsid w:val="00A10031"/>
    <w:rsid w:val="00A1110B"/>
    <w:rsid w:val="00A11A20"/>
    <w:rsid w:val="00A11DFB"/>
    <w:rsid w:val="00A11F1E"/>
    <w:rsid w:val="00A12DEC"/>
    <w:rsid w:val="00A14BA5"/>
    <w:rsid w:val="00A15C80"/>
    <w:rsid w:val="00A15DA4"/>
    <w:rsid w:val="00A20607"/>
    <w:rsid w:val="00A20D0F"/>
    <w:rsid w:val="00A22250"/>
    <w:rsid w:val="00A2486B"/>
    <w:rsid w:val="00A25160"/>
    <w:rsid w:val="00A26916"/>
    <w:rsid w:val="00A274E1"/>
    <w:rsid w:val="00A2769F"/>
    <w:rsid w:val="00A27E3C"/>
    <w:rsid w:val="00A27E76"/>
    <w:rsid w:val="00A27E8B"/>
    <w:rsid w:val="00A3149C"/>
    <w:rsid w:val="00A31A13"/>
    <w:rsid w:val="00A31E9A"/>
    <w:rsid w:val="00A323D7"/>
    <w:rsid w:val="00A32701"/>
    <w:rsid w:val="00A330EB"/>
    <w:rsid w:val="00A334CC"/>
    <w:rsid w:val="00A407DE"/>
    <w:rsid w:val="00A421DA"/>
    <w:rsid w:val="00A44BE1"/>
    <w:rsid w:val="00A4500D"/>
    <w:rsid w:val="00A45450"/>
    <w:rsid w:val="00A473D6"/>
    <w:rsid w:val="00A51EEE"/>
    <w:rsid w:val="00A53C99"/>
    <w:rsid w:val="00A542B8"/>
    <w:rsid w:val="00A54719"/>
    <w:rsid w:val="00A602F2"/>
    <w:rsid w:val="00A60995"/>
    <w:rsid w:val="00A612B9"/>
    <w:rsid w:val="00A6549F"/>
    <w:rsid w:val="00A655F5"/>
    <w:rsid w:val="00A66B14"/>
    <w:rsid w:val="00A66CF8"/>
    <w:rsid w:val="00A70A9A"/>
    <w:rsid w:val="00A7163D"/>
    <w:rsid w:val="00A727DA"/>
    <w:rsid w:val="00A7488B"/>
    <w:rsid w:val="00A7493E"/>
    <w:rsid w:val="00A74F48"/>
    <w:rsid w:val="00A757E1"/>
    <w:rsid w:val="00A81A3A"/>
    <w:rsid w:val="00A82E50"/>
    <w:rsid w:val="00A83C75"/>
    <w:rsid w:val="00A83E6C"/>
    <w:rsid w:val="00A84D8D"/>
    <w:rsid w:val="00A854F8"/>
    <w:rsid w:val="00A85523"/>
    <w:rsid w:val="00A900AE"/>
    <w:rsid w:val="00A918C3"/>
    <w:rsid w:val="00A93140"/>
    <w:rsid w:val="00A9330E"/>
    <w:rsid w:val="00A93FD6"/>
    <w:rsid w:val="00A9447A"/>
    <w:rsid w:val="00A95040"/>
    <w:rsid w:val="00A95088"/>
    <w:rsid w:val="00A957EB"/>
    <w:rsid w:val="00A960AC"/>
    <w:rsid w:val="00A966B3"/>
    <w:rsid w:val="00AA0E96"/>
    <w:rsid w:val="00AA12BE"/>
    <w:rsid w:val="00AA3298"/>
    <w:rsid w:val="00AA41AA"/>
    <w:rsid w:val="00AA41D8"/>
    <w:rsid w:val="00AA461D"/>
    <w:rsid w:val="00AA508F"/>
    <w:rsid w:val="00AA5D0F"/>
    <w:rsid w:val="00AA6892"/>
    <w:rsid w:val="00AA6C76"/>
    <w:rsid w:val="00AB049C"/>
    <w:rsid w:val="00AB1D7B"/>
    <w:rsid w:val="00AB1EA3"/>
    <w:rsid w:val="00AB3399"/>
    <w:rsid w:val="00AB3D67"/>
    <w:rsid w:val="00AB4CB4"/>
    <w:rsid w:val="00AB7A48"/>
    <w:rsid w:val="00AC315A"/>
    <w:rsid w:val="00AC34C5"/>
    <w:rsid w:val="00AC4276"/>
    <w:rsid w:val="00AC464D"/>
    <w:rsid w:val="00AC503E"/>
    <w:rsid w:val="00AC51E8"/>
    <w:rsid w:val="00AC5AAB"/>
    <w:rsid w:val="00AC60CF"/>
    <w:rsid w:val="00AC60FB"/>
    <w:rsid w:val="00AD021E"/>
    <w:rsid w:val="00AD048E"/>
    <w:rsid w:val="00AD0CA9"/>
    <w:rsid w:val="00AD10BF"/>
    <w:rsid w:val="00AD16D6"/>
    <w:rsid w:val="00AD2407"/>
    <w:rsid w:val="00AD265B"/>
    <w:rsid w:val="00AD48D4"/>
    <w:rsid w:val="00AD4DB6"/>
    <w:rsid w:val="00AD62D8"/>
    <w:rsid w:val="00AD6E05"/>
    <w:rsid w:val="00AE017E"/>
    <w:rsid w:val="00AE2844"/>
    <w:rsid w:val="00AE49C2"/>
    <w:rsid w:val="00AE5146"/>
    <w:rsid w:val="00AE55C5"/>
    <w:rsid w:val="00AE5A4F"/>
    <w:rsid w:val="00AE7740"/>
    <w:rsid w:val="00AE7B16"/>
    <w:rsid w:val="00AF0B65"/>
    <w:rsid w:val="00AF0F18"/>
    <w:rsid w:val="00AF7EEF"/>
    <w:rsid w:val="00B002E0"/>
    <w:rsid w:val="00B0053F"/>
    <w:rsid w:val="00B0132A"/>
    <w:rsid w:val="00B029C1"/>
    <w:rsid w:val="00B02F73"/>
    <w:rsid w:val="00B042F9"/>
    <w:rsid w:val="00B07968"/>
    <w:rsid w:val="00B07B19"/>
    <w:rsid w:val="00B10FBA"/>
    <w:rsid w:val="00B12666"/>
    <w:rsid w:val="00B126DA"/>
    <w:rsid w:val="00B14DB6"/>
    <w:rsid w:val="00B1531E"/>
    <w:rsid w:val="00B15903"/>
    <w:rsid w:val="00B166C8"/>
    <w:rsid w:val="00B230AB"/>
    <w:rsid w:val="00B23604"/>
    <w:rsid w:val="00B236B2"/>
    <w:rsid w:val="00B2566A"/>
    <w:rsid w:val="00B2578F"/>
    <w:rsid w:val="00B26E87"/>
    <w:rsid w:val="00B30EB8"/>
    <w:rsid w:val="00B3226F"/>
    <w:rsid w:val="00B35581"/>
    <w:rsid w:val="00B40643"/>
    <w:rsid w:val="00B41694"/>
    <w:rsid w:val="00B425D5"/>
    <w:rsid w:val="00B427B9"/>
    <w:rsid w:val="00B42928"/>
    <w:rsid w:val="00B43371"/>
    <w:rsid w:val="00B44CA2"/>
    <w:rsid w:val="00B454AE"/>
    <w:rsid w:val="00B47CA1"/>
    <w:rsid w:val="00B52464"/>
    <w:rsid w:val="00B545D5"/>
    <w:rsid w:val="00B55453"/>
    <w:rsid w:val="00B55CF3"/>
    <w:rsid w:val="00B57CCE"/>
    <w:rsid w:val="00B63F38"/>
    <w:rsid w:val="00B65685"/>
    <w:rsid w:val="00B66B7C"/>
    <w:rsid w:val="00B670CE"/>
    <w:rsid w:val="00B67B79"/>
    <w:rsid w:val="00B67D4A"/>
    <w:rsid w:val="00B67E74"/>
    <w:rsid w:val="00B71448"/>
    <w:rsid w:val="00B7196F"/>
    <w:rsid w:val="00B80527"/>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4762"/>
    <w:rsid w:val="00BB156E"/>
    <w:rsid w:val="00BB1734"/>
    <w:rsid w:val="00BB2186"/>
    <w:rsid w:val="00BB3ABA"/>
    <w:rsid w:val="00BB4FEC"/>
    <w:rsid w:val="00BB65B1"/>
    <w:rsid w:val="00BB69D5"/>
    <w:rsid w:val="00BB73DF"/>
    <w:rsid w:val="00BB780E"/>
    <w:rsid w:val="00BC03E1"/>
    <w:rsid w:val="00BC214D"/>
    <w:rsid w:val="00BC2983"/>
    <w:rsid w:val="00BC2BCA"/>
    <w:rsid w:val="00BC3757"/>
    <w:rsid w:val="00BC4593"/>
    <w:rsid w:val="00BC78F4"/>
    <w:rsid w:val="00BD05BF"/>
    <w:rsid w:val="00BD464A"/>
    <w:rsid w:val="00BD639A"/>
    <w:rsid w:val="00BD6401"/>
    <w:rsid w:val="00BD64BD"/>
    <w:rsid w:val="00BD6CFB"/>
    <w:rsid w:val="00BE1E03"/>
    <w:rsid w:val="00BE2902"/>
    <w:rsid w:val="00BE42CB"/>
    <w:rsid w:val="00BE6162"/>
    <w:rsid w:val="00BE6C9C"/>
    <w:rsid w:val="00BE751E"/>
    <w:rsid w:val="00BF37B7"/>
    <w:rsid w:val="00BF37CD"/>
    <w:rsid w:val="00BF3B86"/>
    <w:rsid w:val="00BF50B3"/>
    <w:rsid w:val="00BF5C82"/>
    <w:rsid w:val="00BF77C4"/>
    <w:rsid w:val="00BF7A5E"/>
    <w:rsid w:val="00C0085D"/>
    <w:rsid w:val="00C00E47"/>
    <w:rsid w:val="00C010AA"/>
    <w:rsid w:val="00C013EF"/>
    <w:rsid w:val="00C04F9C"/>
    <w:rsid w:val="00C07973"/>
    <w:rsid w:val="00C07BA6"/>
    <w:rsid w:val="00C11D21"/>
    <w:rsid w:val="00C11EFC"/>
    <w:rsid w:val="00C130FB"/>
    <w:rsid w:val="00C1675F"/>
    <w:rsid w:val="00C16C29"/>
    <w:rsid w:val="00C214B3"/>
    <w:rsid w:val="00C21F2D"/>
    <w:rsid w:val="00C22DD1"/>
    <w:rsid w:val="00C23438"/>
    <w:rsid w:val="00C23439"/>
    <w:rsid w:val="00C23F70"/>
    <w:rsid w:val="00C24BB6"/>
    <w:rsid w:val="00C25F81"/>
    <w:rsid w:val="00C268BB"/>
    <w:rsid w:val="00C27213"/>
    <w:rsid w:val="00C278C2"/>
    <w:rsid w:val="00C32425"/>
    <w:rsid w:val="00C33DEA"/>
    <w:rsid w:val="00C34B78"/>
    <w:rsid w:val="00C34DBE"/>
    <w:rsid w:val="00C353D0"/>
    <w:rsid w:val="00C35AE1"/>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587D"/>
    <w:rsid w:val="00C8086B"/>
    <w:rsid w:val="00C82D97"/>
    <w:rsid w:val="00C84D14"/>
    <w:rsid w:val="00C9369C"/>
    <w:rsid w:val="00C93EDD"/>
    <w:rsid w:val="00C95333"/>
    <w:rsid w:val="00C953EF"/>
    <w:rsid w:val="00C953F6"/>
    <w:rsid w:val="00CA0363"/>
    <w:rsid w:val="00CA06A4"/>
    <w:rsid w:val="00CA1C28"/>
    <w:rsid w:val="00CA1C2C"/>
    <w:rsid w:val="00CA485B"/>
    <w:rsid w:val="00CA4CAF"/>
    <w:rsid w:val="00CA501F"/>
    <w:rsid w:val="00CA59FA"/>
    <w:rsid w:val="00CA61CF"/>
    <w:rsid w:val="00CB0B17"/>
    <w:rsid w:val="00CB1749"/>
    <w:rsid w:val="00CB1870"/>
    <w:rsid w:val="00CB27C2"/>
    <w:rsid w:val="00CB32DD"/>
    <w:rsid w:val="00CB3A9F"/>
    <w:rsid w:val="00CB5048"/>
    <w:rsid w:val="00CB5AC7"/>
    <w:rsid w:val="00CC10DA"/>
    <w:rsid w:val="00CC4F0B"/>
    <w:rsid w:val="00CC74C1"/>
    <w:rsid w:val="00CD1094"/>
    <w:rsid w:val="00CD1B67"/>
    <w:rsid w:val="00CD229F"/>
    <w:rsid w:val="00CE2D1F"/>
    <w:rsid w:val="00CE31E0"/>
    <w:rsid w:val="00CE444E"/>
    <w:rsid w:val="00CE52F0"/>
    <w:rsid w:val="00CE5326"/>
    <w:rsid w:val="00CE6F1A"/>
    <w:rsid w:val="00CE79A2"/>
    <w:rsid w:val="00CF18A3"/>
    <w:rsid w:val="00CF356A"/>
    <w:rsid w:val="00CF3DA6"/>
    <w:rsid w:val="00CF4A61"/>
    <w:rsid w:val="00CF6809"/>
    <w:rsid w:val="00CF760D"/>
    <w:rsid w:val="00CF7A30"/>
    <w:rsid w:val="00D010C0"/>
    <w:rsid w:val="00D01778"/>
    <w:rsid w:val="00D01A38"/>
    <w:rsid w:val="00D029CB"/>
    <w:rsid w:val="00D034E8"/>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59AA"/>
    <w:rsid w:val="00D25CA2"/>
    <w:rsid w:val="00D26BCB"/>
    <w:rsid w:val="00D275C6"/>
    <w:rsid w:val="00D27639"/>
    <w:rsid w:val="00D27E59"/>
    <w:rsid w:val="00D3215B"/>
    <w:rsid w:val="00D37264"/>
    <w:rsid w:val="00D40E89"/>
    <w:rsid w:val="00D41A51"/>
    <w:rsid w:val="00D42DFD"/>
    <w:rsid w:val="00D43010"/>
    <w:rsid w:val="00D45BB6"/>
    <w:rsid w:val="00D45E14"/>
    <w:rsid w:val="00D4755C"/>
    <w:rsid w:val="00D47707"/>
    <w:rsid w:val="00D505B1"/>
    <w:rsid w:val="00D52834"/>
    <w:rsid w:val="00D539D6"/>
    <w:rsid w:val="00D544FE"/>
    <w:rsid w:val="00D5505A"/>
    <w:rsid w:val="00D5596F"/>
    <w:rsid w:val="00D56D04"/>
    <w:rsid w:val="00D56F3F"/>
    <w:rsid w:val="00D57733"/>
    <w:rsid w:val="00D577A0"/>
    <w:rsid w:val="00D601F1"/>
    <w:rsid w:val="00D61F13"/>
    <w:rsid w:val="00D64001"/>
    <w:rsid w:val="00D650A7"/>
    <w:rsid w:val="00D65513"/>
    <w:rsid w:val="00D668BB"/>
    <w:rsid w:val="00D672D6"/>
    <w:rsid w:val="00D67D4A"/>
    <w:rsid w:val="00D7096D"/>
    <w:rsid w:val="00D70B9D"/>
    <w:rsid w:val="00D72B46"/>
    <w:rsid w:val="00D72F7B"/>
    <w:rsid w:val="00D75D2E"/>
    <w:rsid w:val="00D76030"/>
    <w:rsid w:val="00D766D5"/>
    <w:rsid w:val="00D806A3"/>
    <w:rsid w:val="00D81232"/>
    <w:rsid w:val="00D81BAC"/>
    <w:rsid w:val="00D83149"/>
    <w:rsid w:val="00D83173"/>
    <w:rsid w:val="00D835FC"/>
    <w:rsid w:val="00D8380A"/>
    <w:rsid w:val="00D85273"/>
    <w:rsid w:val="00D90CC5"/>
    <w:rsid w:val="00D92C6A"/>
    <w:rsid w:val="00D963A6"/>
    <w:rsid w:val="00DA12AB"/>
    <w:rsid w:val="00DA1C49"/>
    <w:rsid w:val="00DA6E0F"/>
    <w:rsid w:val="00DA76B8"/>
    <w:rsid w:val="00DB3689"/>
    <w:rsid w:val="00DB3767"/>
    <w:rsid w:val="00DB39E0"/>
    <w:rsid w:val="00DB452B"/>
    <w:rsid w:val="00DB70B4"/>
    <w:rsid w:val="00DC181B"/>
    <w:rsid w:val="00DC1B28"/>
    <w:rsid w:val="00DC22BE"/>
    <w:rsid w:val="00DC34E6"/>
    <w:rsid w:val="00DC3CB2"/>
    <w:rsid w:val="00DC5F62"/>
    <w:rsid w:val="00DC6AD9"/>
    <w:rsid w:val="00DC6B68"/>
    <w:rsid w:val="00DC7FAF"/>
    <w:rsid w:val="00DD02BA"/>
    <w:rsid w:val="00DD100B"/>
    <w:rsid w:val="00DD36C3"/>
    <w:rsid w:val="00DD42F9"/>
    <w:rsid w:val="00DD6A69"/>
    <w:rsid w:val="00DD7C9D"/>
    <w:rsid w:val="00DE1003"/>
    <w:rsid w:val="00DE1B4A"/>
    <w:rsid w:val="00DE2611"/>
    <w:rsid w:val="00DE2CFF"/>
    <w:rsid w:val="00DE3330"/>
    <w:rsid w:val="00DE5939"/>
    <w:rsid w:val="00DE7746"/>
    <w:rsid w:val="00DE7AA4"/>
    <w:rsid w:val="00DF11E4"/>
    <w:rsid w:val="00DF1C50"/>
    <w:rsid w:val="00DF4490"/>
    <w:rsid w:val="00DF4CBC"/>
    <w:rsid w:val="00DF5370"/>
    <w:rsid w:val="00E0032E"/>
    <w:rsid w:val="00E004AF"/>
    <w:rsid w:val="00E01A66"/>
    <w:rsid w:val="00E0205D"/>
    <w:rsid w:val="00E02BE9"/>
    <w:rsid w:val="00E03C46"/>
    <w:rsid w:val="00E06DE8"/>
    <w:rsid w:val="00E1018A"/>
    <w:rsid w:val="00E10707"/>
    <w:rsid w:val="00E11639"/>
    <w:rsid w:val="00E120F4"/>
    <w:rsid w:val="00E14000"/>
    <w:rsid w:val="00E14F52"/>
    <w:rsid w:val="00E153F6"/>
    <w:rsid w:val="00E15F7E"/>
    <w:rsid w:val="00E173DF"/>
    <w:rsid w:val="00E223C9"/>
    <w:rsid w:val="00E22546"/>
    <w:rsid w:val="00E22B2E"/>
    <w:rsid w:val="00E27FC2"/>
    <w:rsid w:val="00E30CE7"/>
    <w:rsid w:val="00E31912"/>
    <w:rsid w:val="00E31B60"/>
    <w:rsid w:val="00E34648"/>
    <w:rsid w:val="00E34D88"/>
    <w:rsid w:val="00E353DB"/>
    <w:rsid w:val="00E36375"/>
    <w:rsid w:val="00E36729"/>
    <w:rsid w:val="00E36999"/>
    <w:rsid w:val="00E36EC8"/>
    <w:rsid w:val="00E40D48"/>
    <w:rsid w:val="00E40DBF"/>
    <w:rsid w:val="00E42C98"/>
    <w:rsid w:val="00E43798"/>
    <w:rsid w:val="00E43842"/>
    <w:rsid w:val="00E45D6B"/>
    <w:rsid w:val="00E468CA"/>
    <w:rsid w:val="00E51EE1"/>
    <w:rsid w:val="00E521EE"/>
    <w:rsid w:val="00E55E2E"/>
    <w:rsid w:val="00E61F55"/>
    <w:rsid w:val="00E62790"/>
    <w:rsid w:val="00E62B3D"/>
    <w:rsid w:val="00E6315A"/>
    <w:rsid w:val="00E63D13"/>
    <w:rsid w:val="00E64C50"/>
    <w:rsid w:val="00E65E86"/>
    <w:rsid w:val="00E6663D"/>
    <w:rsid w:val="00E71B00"/>
    <w:rsid w:val="00E733FF"/>
    <w:rsid w:val="00E73C7F"/>
    <w:rsid w:val="00E740D9"/>
    <w:rsid w:val="00E74648"/>
    <w:rsid w:val="00E76862"/>
    <w:rsid w:val="00E8224F"/>
    <w:rsid w:val="00E83BFC"/>
    <w:rsid w:val="00E84692"/>
    <w:rsid w:val="00E853FB"/>
    <w:rsid w:val="00E85E3C"/>
    <w:rsid w:val="00E86082"/>
    <w:rsid w:val="00E87574"/>
    <w:rsid w:val="00E943EE"/>
    <w:rsid w:val="00E94A9D"/>
    <w:rsid w:val="00E96534"/>
    <w:rsid w:val="00E9760C"/>
    <w:rsid w:val="00EA0385"/>
    <w:rsid w:val="00EA3791"/>
    <w:rsid w:val="00EA4173"/>
    <w:rsid w:val="00EA4D0C"/>
    <w:rsid w:val="00EA4E53"/>
    <w:rsid w:val="00EA6259"/>
    <w:rsid w:val="00EA63A0"/>
    <w:rsid w:val="00EA6815"/>
    <w:rsid w:val="00EA7720"/>
    <w:rsid w:val="00EA79F2"/>
    <w:rsid w:val="00EA7F21"/>
    <w:rsid w:val="00EB1663"/>
    <w:rsid w:val="00EB1947"/>
    <w:rsid w:val="00EB1DF8"/>
    <w:rsid w:val="00EB3E2F"/>
    <w:rsid w:val="00EB4324"/>
    <w:rsid w:val="00EB5919"/>
    <w:rsid w:val="00EB5DAB"/>
    <w:rsid w:val="00EB6B41"/>
    <w:rsid w:val="00EB7014"/>
    <w:rsid w:val="00EC0950"/>
    <w:rsid w:val="00EC1D1E"/>
    <w:rsid w:val="00EC1D63"/>
    <w:rsid w:val="00EC3A1D"/>
    <w:rsid w:val="00EC3E43"/>
    <w:rsid w:val="00EC465B"/>
    <w:rsid w:val="00EC4C77"/>
    <w:rsid w:val="00EC5A04"/>
    <w:rsid w:val="00EC5B82"/>
    <w:rsid w:val="00EC7D8F"/>
    <w:rsid w:val="00EC7E1A"/>
    <w:rsid w:val="00ED09F7"/>
    <w:rsid w:val="00ED0F55"/>
    <w:rsid w:val="00ED5032"/>
    <w:rsid w:val="00ED5270"/>
    <w:rsid w:val="00ED6649"/>
    <w:rsid w:val="00ED7856"/>
    <w:rsid w:val="00ED792B"/>
    <w:rsid w:val="00ED7DC2"/>
    <w:rsid w:val="00EE04F3"/>
    <w:rsid w:val="00EE266E"/>
    <w:rsid w:val="00EE5769"/>
    <w:rsid w:val="00EE5CA6"/>
    <w:rsid w:val="00EE6916"/>
    <w:rsid w:val="00EF1335"/>
    <w:rsid w:val="00EF1557"/>
    <w:rsid w:val="00EF1D24"/>
    <w:rsid w:val="00EF2DB0"/>
    <w:rsid w:val="00EF4836"/>
    <w:rsid w:val="00EF4AE0"/>
    <w:rsid w:val="00EF5BC5"/>
    <w:rsid w:val="00EF6FA1"/>
    <w:rsid w:val="00F012FF"/>
    <w:rsid w:val="00F01A21"/>
    <w:rsid w:val="00F046E9"/>
    <w:rsid w:val="00F04831"/>
    <w:rsid w:val="00F05D91"/>
    <w:rsid w:val="00F06E0E"/>
    <w:rsid w:val="00F07AA2"/>
    <w:rsid w:val="00F108F2"/>
    <w:rsid w:val="00F10CE6"/>
    <w:rsid w:val="00F12C2A"/>
    <w:rsid w:val="00F12DA8"/>
    <w:rsid w:val="00F1322B"/>
    <w:rsid w:val="00F13699"/>
    <w:rsid w:val="00F14012"/>
    <w:rsid w:val="00F154E0"/>
    <w:rsid w:val="00F15B55"/>
    <w:rsid w:val="00F173C6"/>
    <w:rsid w:val="00F202C0"/>
    <w:rsid w:val="00F224D2"/>
    <w:rsid w:val="00F23C38"/>
    <w:rsid w:val="00F24055"/>
    <w:rsid w:val="00F25BEF"/>
    <w:rsid w:val="00F25F2A"/>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44AB"/>
    <w:rsid w:val="00F54ED3"/>
    <w:rsid w:val="00F56286"/>
    <w:rsid w:val="00F5653F"/>
    <w:rsid w:val="00F56A1B"/>
    <w:rsid w:val="00F57C66"/>
    <w:rsid w:val="00F57D97"/>
    <w:rsid w:val="00F6079F"/>
    <w:rsid w:val="00F616AE"/>
    <w:rsid w:val="00F64EA5"/>
    <w:rsid w:val="00F66660"/>
    <w:rsid w:val="00F66A3D"/>
    <w:rsid w:val="00F66DF3"/>
    <w:rsid w:val="00F67AB2"/>
    <w:rsid w:val="00F67D94"/>
    <w:rsid w:val="00F70EC4"/>
    <w:rsid w:val="00F7334D"/>
    <w:rsid w:val="00F73D21"/>
    <w:rsid w:val="00F74052"/>
    <w:rsid w:val="00F74AF8"/>
    <w:rsid w:val="00F74ED0"/>
    <w:rsid w:val="00F75B44"/>
    <w:rsid w:val="00F8012B"/>
    <w:rsid w:val="00F81303"/>
    <w:rsid w:val="00F8144C"/>
    <w:rsid w:val="00F82899"/>
    <w:rsid w:val="00F83593"/>
    <w:rsid w:val="00F837F7"/>
    <w:rsid w:val="00F8499F"/>
    <w:rsid w:val="00F90E30"/>
    <w:rsid w:val="00F917E4"/>
    <w:rsid w:val="00F91B00"/>
    <w:rsid w:val="00F93604"/>
    <w:rsid w:val="00F9424D"/>
    <w:rsid w:val="00F94956"/>
    <w:rsid w:val="00F94DFC"/>
    <w:rsid w:val="00F96574"/>
    <w:rsid w:val="00F96BAD"/>
    <w:rsid w:val="00F97A48"/>
    <w:rsid w:val="00FA08CA"/>
    <w:rsid w:val="00FA193F"/>
    <w:rsid w:val="00FA34B5"/>
    <w:rsid w:val="00FA3897"/>
    <w:rsid w:val="00FA463D"/>
    <w:rsid w:val="00FA75D3"/>
    <w:rsid w:val="00FB0158"/>
    <w:rsid w:val="00FB16BC"/>
    <w:rsid w:val="00FB25A0"/>
    <w:rsid w:val="00FB2D7C"/>
    <w:rsid w:val="00FB3195"/>
    <w:rsid w:val="00FB4F37"/>
    <w:rsid w:val="00FB79F1"/>
    <w:rsid w:val="00FB7E5A"/>
    <w:rsid w:val="00FC0EF3"/>
    <w:rsid w:val="00FC25AB"/>
    <w:rsid w:val="00FC3544"/>
    <w:rsid w:val="00FC6E54"/>
    <w:rsid w:val="00FD33A2"/>
    <w:rsid w:val="00FD4B7B"/>
    <w:rsid w:val="00FD6206"/>
    <w:rsid w:val="00FD62DD"/>
    <w:rsid w:val="00FD7126"/>
    <w:rsid w:val="00FD72D6"/>
    <w:rsid w:val="00FE09E7"/>
    <w:rsid w:val="00FE2161"/>
    <w:rsid w:val="00FE4C69"/>
    <w:rsid w:val="00FE54F3"/>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A65"/>
    <w:pPr>
      <w:widowControl w:val="0"/>
      <w:spacing w:after="12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ascii="Arial" w:eastAsia="MS Mincho" w:hAnsi="Arial"/>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ascii="Arial" w:eastAsia="MS Mincho" w:hAnsi="Arial"/>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E1DFAC-23E2-4890-A517-8EB6118E2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6162</TotalTime>
  <Pages>8</Pages>
  <Words>2917</Words>
  <Characters>16629</Characters>
  <Application>Microsoft Office Word</Application>
  <DocSecurity>0</DocSecurity>
  <Lines>138</Lines>
  <Paragraphs>39</Paragraphs>
  <ScaleCrop>false</ScaleCrop>
  <Company>ZTE</Company>
  <LinksUpToDate>false</LinksUpToDate>
  <CharactersWithSpaces>19507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519</cp:revision>
  <cp:lastPrinted>2113-01-01T00:00:00Z</cp:lastPrinted>
  <dcterms:created xsi:type="dcterms:W3CDTF">2017-09-06T12:59:00Z</dcterms:created>
  <dcterms:modified xsi:type="dcterms:W3CDTF">2020-10-22T16:15:00Z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